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ED3EE" w14:textId="20EEC896" w:rsidR="00FF26AD" w:rsidRPr="00870D40" w:rsidRDefault="00FF26AD" w:rsidP="00687BFD">
      <w:pPr>
        <w:rPr>
          <w:rFonts w:ascii="Century Gothic" w:hAnsi="Century Gothic"/>
          <w:b/>
        </w:rPr>
      </w:pPr>
    </w:p>
    <w:p w14:paraId="75B53915" w14:textId="77777777" w:rsidR="00FF26AD" w:rsidRPr="00870D40" w:rsidRDefault="00FF26AD" w:rsidP="00687BFD">
      <w:pPr>
        <w:rPr>
          <w:rFonts w:ascii="Century Gothic" w:hAnsi="Century Gothic"/>
          <w:b/>
        </w:rPr>
      </w:pPr>
    </w:p>
    <w:p w14:paraId="445BE2EC" w14:textId="77777777" w:rsidR="00FF26AD" w:rsidRPr="00870D40" w:rsidRDefault="00FF26AD" w:rsidP="00687BFD">
      <w:pPr>
        <w:rPr>
          <w:rFonts w:ascii="Century Gothic" w:hAnsi="Century Gothic"/>
          <w:b/>
        </w:rPr>
      </w:pPr>
    </w:p>
    <w:p w14:paraId="141D6129" w14:textId="77777777" w:rsidR="00FF26AD" w:rsidRPr="00870D40" w:rsidRDefault="00FF26AD" w:rsidP="00687BFD">
      <w:pPr>
        <w:rPr>
          <w:rFonts w:ascii="Century Gothic" w:hAnsi="Century Gothic"/>
          <w:b/>
        </w:rPr>
      </w:pPr>
    </w:p>
    <w:p w14:paraId="46252B2D" w14:textId="77777777" w:rsidR="00FF26AD" w:rsidRPr="00870D40" w:rsidRDefault="00FF26AD" w:rsidP="00687BFD">
      <w:pPr>
        <w:rPr>
          <w:rFonts w:ascii="Century Gothic" w:hAnsi="Century Gothic"/>
          <w:b/>
        </w:rPr>
      </w:pPr>
    </w:p>
    <w:p w14:paraId="1AF6298D" w14:textId="77777777" w:rsidR="00FF26AD" w:rsidRPr="00870D40" w:rsidRDefault="00FF26AD" w:rsidP="00687BFD">
      <w:pPr>
        <w:rPr>
          <w:rFonts w:ascii="Century Gothic" w:hAnsi="Century Gothic"/>
          <w:b/>
        </w:rPr>
      </w:pPr>
    </w:p>
    <w:p w14:paraId="70A4D5A5" w14:textId="77777777" w:rsidR="00FF26AD" w:rsidRPr="00870D40" w:rsidRDefault="00FF26AD" w:rsidP="00687BFD">
      <w:pPr>
        <w:rPr>
          <w:rFonts w:ascii="Century Gothic" w:hAnsi="Century Gothic"/>
          <w:b/>
        </w:rPr>
      </w:pPr>
    </w:p>
    <w:p w14:paraId="37778A11" w14:textId="77777777" w:rsidR="00FF26AD" w:rsidRPr="00870D40" w:rsidRDefault="00FF26AD" w:rsidP="00687BFD">
      <w:pPr>
        <w:rPr>
          <w:rFonts w:ascii="Century Gothic" w:hAnsi="Century Gothic"/>
          <w:b/>
        </w:rPr>
      </w:pPr>
    </w:p>
    <w:p w14:paraId="7FF87BA6" w14:textId="77777777" w:rsidR="00FF26AD" w:rsidRPr="00870D40" w:rsidRDefault="00FF26AD" w:rsidP="00687BFD">
      <w:pPr>
        <w:rPr>
          <w:rFonts w:ascii="Century Gothic" w:hAnsi="Century Gothic"/>
          <w:b/>
        </w:rPr>
      </w:pPr>
    </w:p>
    <w:p w14:paraId="7AAC8876" w14:textId="77777777" w:rsidR="00FF26AD" w:rsidRPr="00870D40" w:rsidRDefault="00FF26AD" w:rsidP="00687BFD">
      <w:pPr>
        <w:rPr>
          <w:rFonts w:ascii="Century Gothic" w:hAnsi="Century Gothic"/>
          <w:b/>
        </w:rPr>
      </w:pPr>
    </w:p>
    <w:p w14:paraId="47FC0C21" w14:textId="77777777" w:rsidR="00FF26AD" w:rsidRPr="00870D40" w:rsidRDefault="00FF26AD" w:rsidP="00687BFD">
      <w:pPr>
        <w:rPr>
          <w:rFonts w:ascii="Century Gothic" w:hAnsi="Century Gothic"/>
          <w:b/>
        </w:rPr>
      </w:pPr>
    </w:p>
    <w:p w14:paraId="2B6A322B" w14:textId="39AA2FA0" w:rsidR="00FF26AD" w:rsidRPr="00413FAE" w:rsidRDefault="006560C7" w:rsidP="00687BFD">
      <w:pPr>
        <w:rPr>
          <w:b/>
          <w:color w:val="E84817"/>
          <w:sz w:val="40"/>
        </w:rPr>
      </w:pPr>
      <w:r w:rsidRPr="00413FAE">
        <w:rPr>
          <w:b/>
          <w:color w:val="E84817"/>
          <w:sz w:val="40"/>
        </w:rPr>
        <w:t>POLÍTICA DE INVESTIMENTOS</w:t>
      </w:r>
      <w:r w:rsidR="00CB3977" w:rsidRPr="00413FAE">
        <w:rPr>
          <w:b/>
          <w:color w:val="E84817"/>
          <w:sz w:val="40"/>
        </w:rPr>
        <w:t xml:space="preserve"> 20</w:t>
      </w:r>
      <w:r w:rsidR="00F84BE0" w:rsidRPr="00413FAE">
        <w:rPr>
          <w:b/>
          <w:color w:val="E84817"/>
          <w:sz w:val="40"/>
        </w:rPr>
        <w:t>2</w:t>
      </w:r>
      <w:r w:rsidR="00366D95">
        <w:rPr>
          <w:b/>
          <w:color w:val="E84817"/>
          <w:sz w:val="40"/>
        </w:rPr>
        <w:t>3</w:t>
      </w:r>
    </w:p>
    <w:p w14:paraId="48FBDE8E" w14:textId="30FE3EDA" w:rsidR="00F84BE0" w:rsidRDefault="00F60874" w:rsidP="00F84BE0">
      <w:r w:rsidRPr="00F60874">
        <w:rPr>
          <w:color w:val="E84817"/>
        </w:rPr>
        <w:t>MUNICÍPIO DE GUARACI</w:t>
      </w:r>
    </w:p>
    <w:p w14:paraId="0195DA76" w14:textId="77777777" w:rsidR="00F84BE0" w:rsidRDefault="00F84BE0" w:rsidP="00F84BE0"/>
    <w:p w14:paraId="6CEA916B" w14:textId="77777777" w:rsidR="00F84BE0" w:rsidRDefault="00F84BE0" w:rsidP="00F84BE0"/>
    <w:p w14:paraId="7DD9AAAF" w14:textId="77777777" w:rsidR="00F84BE0" w:rsidRDefault="00F84BE0" w:rsidP="00F84BE0"/>
    <w:p w14:paraId="2275E7D9" w14:textId="77777777" w:rsidR="00F84BE0" w:rsidRDefault="00F84BE0" w:rsidP="00F84BE0"/>
    <w:p w14:paraId="5F807536" w14:textId="52D4C93E" w:rsidR="00F84BE0" w:rsidRDefault="00F84BE0" w:rsidP="00F84BE0"/>
    <w:p w14:paraId="3C87F114" w14:textId="77777777" w:rsidR="0024734E" w:rsidRDefault="0024734E" w:rsidP="00F84BE0"/>
    <w:p w14:paraId="32843E48" w14:textId="6BDC96A2" w:rsidR="00EB57E9" w:rsidRDefault="00EB57E9" w:rsidP="00F84BE0"/>
    <w:p w14:paraId="14770235" w14:textId="77777777" w:rsidR="002C0B8B" w:rsidRDefault="002C0B8B" w:rsidP="00F84BE0"/>
    <w:p w14:paraId="6C6F8EAD" w14:textId="77777777" w:rsidR="002C0B8B" w:rsidRDefault="002C0B8B" w:rsidP="00F84BE0"/>
    <w:p w14:paraId="15CBA00B" w14:textId="77777777" w:rsidR="0028014E" w:rsidRDefault="0028014E" w:rsidP="00F84BE0"/>
    <w:tbl>
      <w:tblPr>
        <w:tblStyle w:val="Tabelacomgrade"/>
        <w:tblW w:w="5000" w:type="pct"/>
        <w:tblBorders>
          <w:top w:val="dotted" w:sz="2" w:space="0" w:color="7F7F7F" w:themeColor="text1" w:themeTint="80"/>
          <w:left w:val="dotted" w:sz="2" w:space="0" w:color="7F7F7F" w:themeColor="text1" w:themeTint="80"/>
          <w:bottom w:val="dotted" w:sz="2" w:space="0" w:color="7F7F7F" w:themeColor="text1" w:themeTint="80"/>
          <w:right w:val="dotted" w:sz="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532"/>
        <w:gridCol w:w="2263"/>
        <w:gridCol w:w="1086"/>
        <w:gridCol w:w="1184"/>
      </w:tblGrid>
      <w:tr w:rsidR="007667F7" w:rsidRPr="000B42E0" w14:paraId="7E258BEF" w14:textId="77777777" w:rsidTr="00227CDB">
        <w:trPr>
          <w:trHeight w:val="20"/>
        </w:trPr>
        <w:tc>
          <w:tcPr>
            <w:tcW w:w="3748" w:type="pct"/>
            <w:gridSpan w:val="2"/>
            <w:vAlign w:val="center"/>
          </w:tcPr>
          <w:p w14:paraId="7C8E7778" w14:textId="1CB06BCB" w:rsidR="007667F7" w:rsidRPr="0051527A" w:rsidRDefault="007667F7" w:rsidP="00227CDB">
            <w:pPr>
              <w:pStyle w:val="Rodap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Cs w:val="16"/>
              </w:rPr>
              <w:t>Política de Investimentos</w:t>
            </w:r>
          </w:p>
        </w:tc>
        <w:tc>
          <w:tcPr>
            <w:tcW w:w="599" w:type="pct"/>
          </w:tcPr>
          <w:p w14:paraId="008A23C5" w14:textId="77777777" w:rsidR="007667F7" w:rsidRPr="000B42E0" w:rsidRDefault="007667F7" w:rsidP="00227CDB">
            <w:pPr>
              <w:pStyle w:val="Rodap"/>
              <w:jc w:val="center"/>
              <w:rPr>
                <w:b/>
                <w:sz w:val="16"/>
                <w:szCs w:val="16"/>
              </w:rPr>
            </w:pPr>
            <w:r w:rsidRPr="000B42E0">
              <w:rPr>
                <w:b/>
                <w:sz w:val="16"/>
                <w:szCs w:val="16"/>
              </w:rPr>
              <w:t>VERSÃO</w:t>
            </w:r>
          </w:p>
          <w:p w14:paraId="4E8AE2B4" w14:textId="0510F5F2" w:rsidR="007667F7" w:rsidRPr="000B42E0" w:rsidRDefault="007667F7" w:rsidP="00227CDB">
            <w:pPr>
              <w:pStyle w:val="Rodap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53" w:type="pct"/>
          </w:tcPr>
          <w:p w14:paraId="4127FEB0" w14:textId="7D2F29A2" w:rsidR="007667F7" w:rsidRPr="000B42E0" w:rsidRDefault="007667F7" w:rsidP="00227CDB">
            <w:pPr>
              <w:pStyle w:val="Rodap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APROVADO</w:t>
            </w:r>
          </w:p>
          <w:p w14:paraId="36628F70" w14:textId="426D79C3" w:rsidR="007667F7" w:rsidRPr="000B42E0" w:rsidRDefault="0067245B" w:rsidP="00227CDB">
            <w:pPr>
              <w:pStyle w:val="Rodap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09/12/2022</w:t>
            </w:r>
          </w:p>
        </w:tc>
      </w:tr>
      <w:tr w:rsidR="007667F7" w:rsidRPr="000B42E0" w14:paraId="15DD4507" w14:textId="77777777" w:rsidTr="00227CDB">
        <w:trPr>
          <w:trHeight w:val="20"/>
        </w:trPr>
        <w:tc>
          <w:tcPr>
            <w:tcW w:w="2500" w:type="pct"/>
            <w:vAlign w:val="center"/>
          </w:tcPr>
          <w:p w14:paraId="01763E46" w14:textId="17B4AB93" w:rsidR="007667F7" w:rsidRPr="007667F7" w:rsidRDefault="007667F7" w:rsidP="00227CDB">
            <w:pPr>
              <w:pStyle w:val="Rodap"/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Elaboração:</w:t>
            </w:r>
            <w:r>
              <w:rPr>
                <w:sz w:val="16"/>
                <w:szCs w:val="16"/>
              </w:rPr>
              <w:t xml:space="preserve"> Comitê de Investimentos</w:t>
            </w:r>
          </w:p>
        </w:tc>
        <w:tc>
          <w:tcPr>
            <w:tcW w:w="2500" w:type="pct"/>
            <w:gridSpan w:val="3"/>
            <w:vAlign w:val="center"/>
          </w:tcPr>
          <w:p w14:paraId="303FAD04" w14:textId="1FCB5EDA" w:rsidR="007667F7" w:rsidRPr="007667F7" w:rsidRDefault="007667F7" w:rsidP="00227CDB">
            <w:pPr>
              <w:pStyle w:val="Rodap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Aprovação:</w:t>
            </w:r>
            <w:r>
              <w:rPr>
                <w:sz w:val="16"/>
                <w:szCs w:val="16"/>
              </w:rPr>
              <w:t xml:space="preserve"> Conselho Deliberativo</w:t>
            </w:r>
          </w:p>
        </w:tc>
      </w:tr>
    </w:tbl>
    <w:p w14:paraId="18B66B3E" w14:textId="77777777" w:rsidR="00D81DF8" w:rsidRPr="00516AB2" w:rsidRDefault="00D81DF8" w:rsidP="00F84BE0">
      <w:r w:rsidRPr="00516AB2">
        <w:br w:type="page"/>
      </w:r>
    </w:p>
    <w:sdt>
      <w:sdtPr>
        <w:rPr>
          <w:bCs/>
          <w:sz w:val="24"/>
        </w:rPr>
        <w:id w:val="1261562148"/>
        <w:docPartObj>
          <w:docPartGallery w:val="Table of Contents"/>
          <w:docPartUnique/>
        </w:docPartObj>
      </w:sdtPr>
      <w:sdtEndPr>
        <w:rPr>
          <w:b/>
          <w:sz w:val="12"/>
          <w:szCs w:val="16"/>
        </w:rPr>
      </w:sdtEndPr>
      <w:sdtContent>
        <w:p w14:paraId="293CDEB9" w14:textId="77777777" w:rsidR="00CC3E23" w:rsidRPr="002C0B8B" w:rsidRDefault="00CC3E23" w:rsidP="007B1153">
          <w:pPr>
            <w:jc w:val="center"/>
            <w:rPr>
              <w:b/>
              <w:color w:val="E84817"/>
              <w:sz w:val="24"/>
            </w:rPr>
          </w:pPr>
          <w:r w:rsidRPr="002C0B8B">
            <w:rPr>
              <w:b/>
              <w:color w:val="E84817"/>
              <w:sz w:val="24"/>
            </w:rPr>
            <w:t>SUMÁRIO</w:t>
          </w:r>
        </w:p>
        <w:p w14:paraId="231130A6" w14:textId="77777777" w:rsidR="00E97889" w:rsidRDefault="00CC3E23">
          <w:pPr>
            <w:pStyle w:val="Sumrio1"/>
            <w:tabs>
              <w:tab w:val="left" w:pos="400"/>
              <w:tab w:val="right" w:leader="dot" w:pos="9061"/>
            </w:tabs>
            <w:rPr>
              <w:rFonts w:asciiTheme="minorHAnsi" w:eastAsiaTheme="minorEastAsia" w:hAnsiTheme="minorHAnsi"/>
              <w:noProof/>
              <w:color w:val="auto"/>
              <w:lang w:eastAsia="pt-BR"/>
            </w:rPr>
          </w:pPr>
          <w:r w:rsidRPr="005B5E5B">
            <w:rPr>
              <w:bCs/>
              <w:sz w:val="8"/>
              <w:szCs w:val="16"/>
            </w:rPr>
            <w:fldChar w:fldCharType="begin"/>
          </w:r>
          <w:r w:rsidRPr="005B5E5B">
            <w:rPr>
              <w:bCs/>
              <w:sz w:val="8"/>
              <w:szCs w:val="16"/>
            </w:rPr>
            <w:instrText xml:space="preserve"> TOC \o "1-3" \h \z \u </w:instrText>
          </w:r>
          <w:r w:rsidRPr="005B5E5B">
            <w:rPr>
              <w:bCs/>
              <w:sz w:val="8"/>
              <w:szCs w:val="16"/>
            </w:rPr>
            <w:fldChar w:fldCharType="separate"/>
          </w:r>
          <w:hyperlink w:anchor="_Toc118105125" w:history="1">
            <w:r w:rsidR="00E97889" w:rsidRPr="00D54D9F">
              <w:rPr>
                <w:rStyle w:val="Hyperlink"/>
                <w:noProof/>
              </w:rPr>
              <w:t>1</w:t>
            </w:r>
            <w:r w:rsidR="00E97889">
              <w:rPr>
                <w:rFonts w:asciiTheme="minorHAnsi" w:eastAsiaTheme="minorEastAsia" w:hAnsiTheme="minorHAnsi"/>
                <w:noProof/>
                <w:color w:val="auto"/>
                <w:lang w:eastAsia="pt-BR"/>
              </w:rPr>
              <w:tab/>
            </w:r>
            <w:r w:rsidR="00E97889" w:rsidRPr="00D54D9F">
              <w:rPr>
                <w:rStyle w:val="Hyperlink"/>
                <w:noProof/>
              </w:rPr>
              <w:t>INTRODUÇÃO</w:t>
            </w:r>
            <w:r w:rsidR="00E97889">
              <w:rPr>
                <w:noProof/>
                <w:webHidden/>
              </w:rPr>
              <w:tab/>
            </w:r>
            <w:r w:rsidR="00E97889">
              <w:rPr>
                <w:noProof/>
                <w:webHidden/>
              </w:rPr>
              <w:fldChar w:fldCharType="begin"/>
            </w:r>
            <w:r w:rsidR="00E97889">
              <w:rPr>
                <w:noProof/>
                <w:webHidden/>
              </w:rPr>
              <w:instrText xml:space="preserve"> PAGEREF _Toc118105125 \h </w:instrText>
            </w:r>
            <w:r w:rsidR="00E97889">
              <w:rPr>
                <w:noProof/>
                <w:webHidden/>
              </w:rPr>
            </w:r>
            <w:r w:rsidR="00E97889">
              <w:rPr>
                <w:noProof/>
                <w:webHidden/>
              </w:rPr>
              <w:fldChar w:fldCharType="separate"/>
            </w:r>
            <w:r w:rsidR="00E97889">
              <w:rPr>
                <w:noProof/>
                <w:webHidden/>
              </w:rPr>
              <w:t>4</w:t>
            </w:r>
            <w:r w:rsidR="00E97889">
              <w:rPr>
                <w:noProof/>
                <w:webHidden/>
              </w:rPr>
              <w:fldChar w:fldCharType="end"/>
            </w:r>
          </w:hyperlink>
        </w:p>
        <w:p w14:paraId="65841A55" w14:textId="77777777" w:rsidR="00E97889" w:rsidRDefault="00C716C6">
          <w:pPr>
            <w:pStyle w:val="Sumrio1"/>
            <w:tabs>
              <w:tab w:val="left" w:pos="400"/>
              <w:tab w:val="right" w:leader="dot" w:pos="9061"/>
            </w:tabs>
            <w:rPr>
              <w:rFonts w:asciiTheme="minorHAnsi" w:eastAsiaTheme="minorEastAsia" w:hAnsiTheme="minorHAnsi"/>
              <w:noProof/>
              <w:color w:val="auto"/>
              <w:lang w:eastAsia="pt-BR"/>
            </w:rPr>
          </w:pPr>
          <w:hyperlink w:anchor="_Toc118105126" w:history="1">
            <w:r w:rsidR="00E97889" w:rsidRPr="00D54D9F">
              <w:rPr>
                <w:rStyle w:val="Hyperlink"/>
                <w:noProof/>
              </w:rPr>
              <w:t>2</w:t>
            </w:r>
            <w:r w:rsidR="00E97889">
              <w:rPr>
                <w:rFonts w:asciiTheme="minorHAnsi" w:eastAsiaTheme="minorEastAsia" w:hAnsiTheme="minorHAnsi"/>
                <w:noProof/>
                <w:color w:val="auto"/>
                <w:lang w:eastAsia="pt-BR"/>
              </w:rPr>
              <w:tab/>
            </w:r>
            <w:r w:rsidR="00E97889" w:rsidRPr="00D54D9F">
              <w:rPr>
                <w:rStyle w:val="Hyperlink"/>
                <w:noProof/>
              </w:rPr>
              <w:t>OBJETIVO</w:t>
            </w:r>
            <w:r w:rsidR="00E97889">
              <w:rPr>
                <w:noProof/>
                <w:webHidden/>
              </w:rPr>
              <w:tab/>
            </w:r>
            <w:r w:rsidR="00E97889">
              <w:rPr>
                <w:noProof/>
                <w:webHidden/>
              </w:rPr>
              <w:fldChar w:fldCharType="begin"/>
            </w:r>
            <w:r w:rsidR="00E97889">
              <w:rPr>
                <w:noProof/>
                <w:webHidden/>
              </w:rPr>
              <w:instrText xml:space="preserve"> PAGEREF _Toc118105126 \h </w:instrText>
            </w:r>
            <w:r w:rsidR="00E97889">
              <w:rPr>
                <w:noProof/>
                <w:webHidden/>
              </w:rPr>
            </w:r>
            <w:r w:rsidR="00E97889">
              <w:rPr>
                <w:noProof/>
                <w:webHidden/>
              </w:rPr>
              <w:fldChar w:fldCharType="separate"/>
            </w:r>
            <w:r w:rsidR="00E97889">
              <w:rPr>
                <w:noProof/>
                <w:webHidden/>
              </w:rPr>
              <w:t>5</w:t>
            </w:r>
            <w:r w:rsidR="00E97889">
              <w:rPr>
                <w:noProof/>
                <w:webHidden/>
              </w:rPr>
              <w:fldChar w:fldCharType="end"/>
            </w:r>
          </w:hyperlink>
        </w:p>
        <w:p w14:paraId="17F31A67" w14:textId="77777777" w:rsidR="00E97889" w:rsidRDefault="00C716C6">
          <w:pPr>
            <w:pStyle w:val="Sumrio1"/>
            <w:tabs>
              <w:tab w:val="left" w:pos="400"/>
              <w:tab w:val="right" w:leader="dot" w:pos="9061"/>
            </w:tabs>
            <w:rPr>
              <w:rFonts w:asciiTheme="minorHAnsi" w:eastAsiaTheme="minorEastAsia" w:hAnsiTheme="minorHAnsi"/>
              <w:noProof/>
              <w:color w:val="auto"/>
              <w:lang w:eastAsia="pt-BR"/>
            </w:rPr>
          </w:pPr>
          <w:hyperlink w:anchor="_Toc118105127" w:history="1">
            <w:r w:rsidR="00E97889" w:rsidRPr="00D54D9F">
              <w:rPr>
                <w:rStyle w:val="Hyperlink"/>
                <w:noProof/>
              </w:rPr>
              <w:t>3</w:t>
            </w:r>
            <w:r w:rsidR="00E97889">
              <w:rPr>
                <w:rFonts w:asciiTheme="minorHAnsi" w:eastAsiaTheme="minorEastAsia" w:hAnsiTheme="minorHAnsi"/>
                <w:noProof/>
                <w:color w:val="auto"/>
                <w:lang w:eastAsia="pt-BR"/>
              </w:rPr>
              <w:tab/>
            </w:r>
            <w:r w:rsidR="00E97889" w:rsidRPr="00D54D9F">
              <w:rPr>
                <w:rStyle w:val="Hyperlink"/>
                <w:noProof/>
              </w:rPr>
              <w:t>CATEGORIZAÇÃO DO RPPS</w:t>
            </w:r>
            <w:r w:rsidR="00E97889">
              <w:rPr>
                <w:noProof/>
                <w:webHidden/>
              </w:rPr>
              <w:tab/>
            </w:r>
            <w:r w:rsidR="00E97889">
              <w:rPr>
                <w:noProof/>
                <w:webHidden/>
              </w:rPr>
              <w:fldChar w:fldCharType="begin"/>
            </w:r>
            <w:r w:rsidR="00E97889">
              <w:rPr>
                <w:noProof/>
                <w:webHidden/>
              </w:rPr>
              <w:instrText xml:space="preserve"> PAGEREF _Toc118105127 \h </w:instrText>
            </w:r>
            <w:r w:rsidR="00E97889">
              <w:rPr>
                <w:noProof/>
                <w:webHidden/>
              </w:rPr>
            </w:r>
            <w:r w:rsidR="00E97889">
              <w:rPr>
                <w:noProof/>
                <w:webHidden/>
              </w:rPr>
              <w:fldChar w:fldCharType="separate"/>
            </w:r>
            <w:r w:rsidR="00E97889">
              <w:rPr>
                <w:noProof/>
                <w:webHidden/>
              </w:rPr>
              <w:t>6</w:t>
            </w:r>
            <w:r w:rsidR="00E97889">
              <w:rPr>
                <w:noProof/>
                <w:webHidden/>
              </w:rPr>
              <w:fldChar w:fldCharType="end"/>
            </w:r>
          </w:hyperlink>
        </w:p>
        <w:p w14:paraId="6448ADFE" w14:textId="77777777" w:rsidR="00E97889" w:rsidRDefault="00C716C6">
          <w:pPr>
            <w:pStyle w:val="Sumrio1"/>
            <w:tabs>
              <w:tab w:val="left" w:pos="400"/>
              <w:tab w:val="right" w:leader="dot" w:pos="9061"/>
            </w:tabs>
            <w:rPr>
              <w:rFonts w:asciiTheme="minorHAnsi" w:eastAsiaTheme="minorEastAsia" w:hAnsiTheme="minorHAnsi"/>
              <w:noProof/>
              <w:color w:val="auto"/>
              <w:lang w:eastAsia="pt-BR"/>
            </w:rPr>
          </w:pPr>
          <w:hyperlink w:anchor="_Toc118105128" w:history="1">
            <w:r w:rsidR="00E97889" w:rsidRPr="00D54D9F">
              <w:rPr>
                <w:rStyle w:val="Hyperlink"/>
                <w:noProof/>
              </w:rPr>
              <w:t>4</w:t>
            </w:r>
            <w:r w:rsidR="00E97889">
              <w:rPr>
                <w:rFonts w:asciiTheme="minorHAnsi" w:eastAsiaTheme="minorEastAsia" w:hAnsiTheme="minorHAnsi"/>
                <w:noProof/>
                <w:color w:val="auto"/>
                <w:lang w:eastAsia="pt-BR"/>
              </w:rPr>
              <w:tab/>
            </w:r>
            <w:r w:rsidR="00E97889" w:rsidRPr="00D54D9F">
              <w:rPr>
                <w:rStyle w:val="Hyperlink"/>
                <w:noProof/>
              </w:rPr>
              <w:t>ESTRUTURA DE GESTÃO</w:t>
            </w:r>
            <w:r w:rsidR="00E97889">
              <w:rPr>
                <w:noProof/>
                <w:webHidden/>
              </w:rPr>
              <w:tab/>
            </w:r>
            <w:r w:rsidR="00E97889">
              <w:rPr>
                <w:noProof/>
                <w:webHidden/>
              </w:rPr>
              <w:fldChar w:fldCharType="begin"/>
            </w:r>
            <w:r w:rsidR="00E97889">
              <w:rPr>
                <w:noProof/>
                <w:webHidden/>
              </w:rPr>
              <w:instrText xml:space="preserve"> PAGEREF _Toc118105128 \h </w:instrText>
            </w:r>
            <w:r w:rsidR="00E97889">
              <w:rPr>
                <w:noProof/>
                <w:webHidden/>
              </w:rPr>
            </w:r>
            <w:r w:rsidR="00E97889">
              <w:rPr>
                <w:noProof/>
                <w:webHidden/>
              </w:rPr>
              <w:fldChar w:fldCharType="separate"/>
            </w:r>
            <w:r w:rsidR="00E97889">
              <w:rPr>
                <w:noProof/>
                <w:webHidden/>
              </w:rPr>
              <w:t>7</w:t>
            </w:r>
            <w:r w:rsidR="00E97889">
              <w:rPr>
                <w:noProof/>
                <w:webHidden/>
              </w:rPr>
              <w:fldChar w:fldCharType="end"/>
            </w:r>
          </w:hyperlink>
        </w:p>
        <w:p w14:paraId="5347DB8A" w14:textId="77777777" w:rsidR="00E97889" w:rsidRDefault="00C716C6">
          <w:pPr>
            <w:pStyle w:val="Sumrio3"/>
            <w:tabs>
              <w:tab w:val="left" w:pos="1100"/>
              <w:tab w:val="right" w:leader="dot" w:pos="9061"/>
            </w:tabs>
            <w:rPr>
              <w:rFonts w:asciiTheme="minorHAnsi" w:eastAsiaTheme="minorEastAsia" w:hAnsiTheme="minorHAnsi"/>
              <w:noProof/>
              <w:color w:val="auto"/>
              <w:lang w:eastAsia="pt-BR"/>
            </w:rPr>
          </w:pPr>
          <w:hyperlink w:anchor="_Toc118105129" w:history="1">
            <w:r w:rsidR="00E97889" w:rsidRPr="00D54D9F">
              <w:rPr>
                <w:rStyle w:val="Hyperlink"/>
                <w:noProof/>
              </w:rPr>
              <w:t>4.1.1</w:t>
            </w:r>
            <w:r w:rsidR="00E97889">
              <w:rPr>
                <w:rFonts w:asciiTheme="minorHAnsi" w:eastAsiaTheme="minorEastAsia" w:hAnsiTheme="minorHAnsi"/>
                <w:noProof/>
                <w:color w:val="auto"/>
                <w:lang w:eastAsia="pt-BR"/>
              </w:rPr>
              <w:tab/>
            </w:r>
            <w:r w:rsidR="00E97889" w:rsidRPr="00D54D9F">
              <w:rPr>
                <w:rStyle w:val="Hyperlink"/>
                <w:noProof/>
              </w:rPr>
              <w:t>GESTÃO PRÓPRIA</w:t>
            </w:r>
            <w:r w:rsidR="00E97889">
              <w:rPr>
                <w:noProof/>
                <w:webHidden/>
              </w:rPr>
              <w:tab/>
            </w:r>
            <w:r w:rsidR="00E97889">
              <w:rPr>
                <w:noProof/>
                <w:webHidden/>
              </w:rPr>
              <w:fldChar w:fldCharType="begin"/>
            </w:r>
            <w:r w:rsidR="00E97889">
              <w:rPr>
                <w:noProof/>
                <w:webHidden/>
              </w:rPr>
              <w:instrText xml:space="preserve"> PAGEREF _Toc118105129 \h </w:instrText>
            </w:r>
            <w:r w:rsidR="00E97889">
              <w:rPr>
                <w:noProof/>
                <w:webHidden/>
              </w:rPr>
            </w:r>
            <w:r w:rsidR="00E97889">
              <w:rPr>
                <w:noProof/>
                <w:webHidden/>
              </w:rPr>
              <w:fldChar w:fldCharType="separate"/>
            </w:r>
            <w:r w:rsidR="00E97889">
              <w:rPr>
                <w:noProof/>
                <w:webHidden/>
              </w:rPr>
              <w:t>7</w:t>
            </w:r>
            <w:r w:rsidR="00E97889">
              <w:rPr>
                <w:noProof/>
                <w:webHidden/>
              </w:rPr>
              <w:fldChar w:fldCharType="end"/>
            </w:r>
          </w:hyperlink>
        </w:p>
        <w:p w14:paraId="06BE170D" w14:textId="77777777" w:rsidR="00E97889" w:rsidRDefault="00C716C6">
          <w:pPr>
            <w:pStyle w:val="Sumrio3"/>
            <w:tabs>
              <w:tab w:val="left" w:pos="1100"/>
              <w:tab w:val="right" w:leader="dot" w:pos="9061"/>
            </w:tabs>
            <w:rPr>
              <w:rFonts w:asciiTheme="minorHAnsi" w:eastAsiaTheme="minorEastAsia" w:hAnsiTheme="minorHAnsi"/>
              <w:noProof/>
              <w:color w:val="auto"/>
              <w:lang w:eastAsia="pt-BR"/>
            </w:rPr>
          </w:pPr>
          <w:hyperlink w:anchor="_Toc118105130" w:history="1">
            <w:r w:rsidR="00E97889" w:rsidRPr="00D54D9F">
              <w:rPr>
                <w:rStyle w:val="Hyperlink"/>
                <w:noProof/>
              </w:rPr>
              <w:t>4.1.2</w:t>
            </w:r>
            <w:r w:rsidR="00E97889">
              <w:rPr>
                <w:rFonts w:asciiTheme="minorHAnsi" w:eastAsiaTheme="minorEastAsia" w:hAnsiTheme="minorHAnsi"/>
                <w:noProof/>
                <w:color w:val="auto"/>
                <w:lang w:eastAsia="pt-BR"/>
              </w:rPr>
              <w:tab/>
            </w:r>
            <w:r w:rsidR="00E97889" w:rsidRPr="00D54D9F">
              <w:rPr>
                <w:rStyle w:val="Hyperlink"/>
                <w:noProof/>
              </w:rPr>
              <w:t>ÓRGÃOS DE EXECUÇÃO</w:t>
            </w:r>
            <w:r w:rsidR="00E97889">
              <w:rPr>
                <w:noProof/>
                <w:webHidden/>
              </w:rPr>
              <w:tab/>
            </w:r>
            <w:r w:rsidR="00E97889">
              <w:rPr>
                <w:noProof/>
                <w:webHidden/>
              </w:rPr>
              <w:fldChar w:fldCharType="begin"/>
            </w:r>
            <w:r w:rsidR="00E97889">
              <w:rPr>
                <w:noProof/>
                <w:webHidden/>
              </w:rPr>
              <w:instrText xml:space="preserve"> PAGEREF _Toc118105130 \h </w:instrText>
            </w:r>
            <w:r w:rsidR="00E97889">
              <w:rPr>
                <w:noProof/>
                <w:webHidden/>
              </w:rPr>
            </w:r>
            <w:r w:rsidR="00E97889">
              <w:rPr>
                <w:noProof/>
                <w:webHidden/>
              </w:rPr>
              <w:fldChar w:fldCharType="separate"/>
            </w:r>
            <w:r w:rsidR="00E97889">
              <w:rPr>
                <w:noProof/>
                <w:webHidden/>
              </w:rPr>
              <w:t>7</w:t>
            </w:r>
            <w:r w:rsidR="00E97889">
              <w:rPr>
                <w:noProof/>
                <w:webHidden/>
              </w:rPr>
              <w:fldChar w:fldCharType="end"/>
            </w:r>
          </w:hyperlink>
        </w:p>
        <w:p w14:paraId="45870000" w14:textId="77777777" w:rsidR="00E97889" w:rsidRDefault="00C716C6">
          <w:pPr>
            <w:pStyle w:val="Sumrio3"/>
            <w:tabs>
              <w:tab w:val="left" w:pos="1100"/>
              <w:tab w:val="right" w:leader="dot" w:pos="9061"/>
            </w:tabs>
            <w:rPr>
              <w:rFonts w:asciiTheme="minorHAnsi" w:eastAsiaTheme="minorEastAsia" w:hAnsiTheme="minorHAnsi"/>
              <w:noProof/>
              <w:color w:val="auto"/>
              <w:lang w:eastAsia="pt-BR"/>
            </w:rPr>
          </w:pPr>
          <w:hyperlink w:anchor="_Toc118105131" w:history="1">
            <w:r w:rsidR="00E97889" w:rsidRPr="00D54D9F">
              <w:rPr>
                <w:rStyle w:val="Hyperlink"/>
                <w:noProof/>
              </w:rPr>
              <w:t>4.1.3</w:t>
            </w:r>
            <w:r w:rsidR="00E97889">
              <w:rPr>
                <w:rFonts w:asciiTheme="minorHAnsi" w:eastAsiaTheme="minorEastAsia" w:hAnsiTheme="minorHAnsi"/>
                <w:noProof/>
                <w:color w:val="auto"/>
                <w:lang w:eastAsia="pt-BR"/>
              </w:rPr>
              <w:tab/>
            </w:r>
            <w:r w:rsidR="00E97889" w:rsidRPr="00D54D9F">
              <w:rPr>
                <w:rStyle w:val="Hyperlink"/>
                <w:noProof/>
              </w:rPr>
              <w:t>CONSULTORIA DE VALORES MOBILIÁRIOS</w:t>
            </w:r>
            <w:r w:rsidR="00E97889">
              <w:rPr>
                <w:noProof/>
                <w:webHidden/>
              </w:rPr>
              <w:tab/>
            </w:r>
            <w:r w:rsidR="00E97889">
              <w:rPr>
                <w:noProof/>
                <w:webHidden/>
              </w:rPr>
              <w:fldChar w:fldCharType="begin"/>
            </w:r>
            <w:r w:rsidR="00E97889">
              <w:rPr>
                <w:noProof/>
                <w:webHidden/>
              </w:rPr>
              <w:instrText xml:space="preserve"> PAGEREF _Toc118105131 \h </w:instrText>
            </w:r>
            <w:r w:rsidR="00E97889">
              <w:rPr>
                <w:noProof/>
                <w:webHidden/>
              </w:rPr>
            </w:r>
            <w:r w:rsidR="00E97889">
              <w:rPr>
                <w:noProof/>
                <w:webHidden/>
              </w:rPr>
              <w:fldChar w:fldCharType="separate"/>
            </w:r>
            <w:r w:rsidR="00E97889">
              <w:rPr>
                <w:noProof/>
                <w:webHidden/>
              </w:rPr>
              <w:t>8</w:t>
            </w:r>
            <w:r w:rsidR="00E97889">
              <w:rPr>
                <w:noProof/>
                <w:webHidden/>
              </w:rPr>
              <w:fldChar w:fldCharType="end"/>
            </w:r>
          </w:hyperlink>
        </w:p>
        <w:p w14:paraId="6717D544" w14:textId="77777777" w:rsidR="00E97889" w:rsidRDefault="00C716C6">
          <w:pPr>
            <w:pStyle w:val="Sumrio3"/>
            <w:tabs>
              <w:tab w:val="left" w:pos="1100"/>
              <w:tab w:val="right" w:leader="dot" w:pos="9061"/>
            </w:tabs>
            <w:rPr>
              <w:rFonts w:asciiTheme="minorHAnsi" w:eastAsiaTheme="minorEastAsia" w:hAnsiTheme="minorHAnsi"/>
              <w:noProof/>
              <w:color w:val="auto"/>
              <w:lang w:eastAsia="pt-BR"/>
            </w:rPr>
          </w:pPr>
          <w:hyperlink w:anchor="_Toc118105132" w:history="1">
            <w:r w:rsidR="00E97889" w:rsidRPr="00D54D9F">
              <w:rPr>
                <w:rStyle w:val="Hyperlink"/>
                <w:noProof/>
              </w:rPr>
              <w:t>4.1.4</w:t>
            </w:r>
            <w:r w:rsidR="00E97889">
              <w:rPr>
                <w:rFonts w:asciiTheme="minorHAnsi" w:eastAsiaTheme="minorEastAsia" w:hAnsiTheme="minorHAnsi"/>
                <w:noProof/>
                <w:color w:val="auto"/>
                <w:lang w:eastAsia="pt-BR"/>
              </w:rPr>
              <w:tab/>
            </w:r>
            <w:r w:rsidR="00E97889" w:rsidRPr="00D54D9F">
              <w:rPr>
                <w:rStyle w:val="Hyperlink"/>
                <w:noProof/>
              </w:rPr>
              <w:t>GESTÃO DA APLICAÇÃO DOS RECURSOS</w:t>
            </w:r>
            <w:r w:rsidR="00E97889">
              <w:rPr>
                <w:noProof/>
                <w:webHidden/>
              </w:rPr>
              <w:tab/>
            </w:r>
            <w:r w:rsidR="00E97889">
              <w:rPr>
                <w:noProof/>
                <w:webHidden/>
              </w:rPr>
              <w:fldChar w:fldCharType="begin"/>
            </w:r>
            <w:r w:rsidR="00E97889">
              <w:rPr>
                <w:noProof/>
                <w:webHidden/>
              </w:rPr>
              <w:instrText xml:space="preserve"> PAGEREF _Toc118105132 \h </w:instrText>
            </w:r>
            <w:r w:rsidR="00E97889">
              <w:rPr>
                <w:noProof/>
                <w:webHidden/>
              </w:rPr>
            </w:r>
            <w:r w:rsidR="00E97889">
              <w:rPr>
                <w:noProof/>
                <w:webHidden/>
              </w:rPr>
              <w:fldChar w:fldCharType="separate"/>
            </w:r>
            <w:r w:rsidR="00E97889">
              <w:rPr>
                <w:noProof/>
                <w:webHidden/>
              </w:rPr>
              <w:t>10</w:t>
            </w:r>
            <w:r w:rsidR="00E97889">
              <w:rPr>
                <w:noProof/>
                <w:webHidden/>
              </w:rPr>
              <w:fldChar w:fldCharType="end"/>
            </w:r>
          </w:hyperlink>
        </w:p>
        <w:p w14:paraId="185D86AB" w14:textId="77777777" w:rsidR="00E97889" w:rsidRDefault="00C716C6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color w:val="auto"/>
              <w:lang w:eastAsia="pt-BR"/>
            </w:rPr>
          </w:pPr>
          <w:hyperlink w:anchor="_Toc118105133" w:history="1">
            <w:r w:rsidR="00E97889" w:rsidRPr="00D54D9F">
              <w:rPr>
                <w:rStyle w:val="Hyperlink"/>
                <w:noProof/>
              </w:rPr>
              <w:t>Conforme dispõe a Portaria nº 1.467/2022, o responsável pelo Regime Próprio de Previdência Social e os membros que compõem o Comitê de Investimentos deverão comprovar:</w:t>
            </w:r>
            <w:r w:rsidR="00E97889">
              <w:rPr>
                <w:noProof/>
                <w:webHidden/>
              </w:rPr>
              <w:tab/>
            </w:r>
            <w:r w:rsidR="00E97889">
              <w:rPr>
                <w:noProof/>
                <w:webHidden/>
              </w:rPr>
              <w:fldChar w:fldCharType="begin"/>
            </w:r>
            <w:r w:rsidR="00E97889">
              <w:rPr>
                <w:noProof/>
                <w:webHidden/>
              </w:rPr>
              <w:instrText xml:space="preserve"> PAGEREF _Toc118105133 \h </w:instrText>
            </w:r>
            <w:r w:rsidR="00E97889">
              <w:rPr>
                <w:noProof/>
                <w:webHidden/>
              </w:rPr>
            </w:r>
            <w:r w:rsidR="00E97889">
              <w:rPr>
                <w:noProof/>
                <w:webHidden/>
              </w:rPr>
              <w:fldChar w:fldCharType="separate"/>
            </w:r>
            <w:r w:rsidR="00E97889">
              <w:rPr>
                <w:noProof/>
                <w:webHidden/>
              </w:rPr>
              <w:t>10</w:t>
            </w:r>
            <w:r w:rsidR="00E97889">
              <w:rPr>
                <w:noProof/>
                <w:webHidden/>
              </w:rPr>
              <w:fldChar w:fldCharType="end"/>
            </w:r>
          </w:hyperlink>
        </w:p>
        <w:p w14:paraId="5704165A" w14:textId="77777777" w:rsidR="00E97889" w:rsidRDefault="00C716C6">
          <w:pPr>
            <w:pStyle w:val="Sumrio1"/>
            <w:tabs>
              <w:tab w:val="left" w:pos="660"/>
              <w:tab w:val="right" w:leader="dot" w:pos="9061"/>
            </w:tabs>
            <w:rPr>
              <w:rFonts w:asciiTheme="minorHAnsi" w:eastAsiaTheme="minorEastAsia" w:hAnsiTheme="minorHAnsi"/>
              <w:noProof/>
              <w:color w:val="auto"/>
              <w:lang w:eastAsia="pt-BR"/>
            </w:rPr>
          </w:pPr>
          <w:hyperlink w:anchor="_Toc118105134" w:history="1">
            <w:r w:rsidR="00E97889" w:rsidRPr="00D54D9F">
              <w:rPr>
                <w:rStyle w:val="Hyperlink"/>
                <w:noProof/>
              </w:rPr>
              <w:t>a)</w:t>
            </w:r>
            <w:r w:rsidR="00E97889">
              <w:rPr>
                <w:rFonts w:asciiTheme="minorHAnsi" w:eastAsiaTheme="minorEastAsia" w:hAnsiTheme="minorHAnsi"/>
                <w:noProof/>
                <w:color w:val="auto"/>
                <w:lang w:eastAsia="pt-BR"/>
              </w:rPr>
              <w:tab/>
            </w:r>
            <w:r w:rsidR="00E97889" w:rsidRPr="00D54D9F">
              <w:rPr>
                <w:rStyle w:val="Hyperlink"/>
                <w:noProof/>
              </w:rPr>
              <w:t>Não ter sofrido condenação criminal ou incidido em alguma situação de inelegibilidade prevista no artigo 1º da LC nº 64/1990.</w:t>
            </w:r>
            <w:r w:rsidR="00E97889">
              <w:rPr>
                <w:noProof/>
                <w:webHidden/>
              </w:rPr>
              <w:tab/>
            </w:r>
            <w:r w:rsidR="00E97889">
              <w:rPr>
                <w:noProof/>
                <w:webHidden/>
              </w:rPr>
              <w:fldChar w:fldCharType="begin"/>
            </w:r>
            <w:r w:rsidR="00E97889">
              <w:rPr>
                <w:noProof/>
                <w:webHidden/>
              </w:rPr>
              <w:instrText xml:space="preserve"> PAGEREF _Toc118105134 \h </w:instrText>
            </w:r>
            <w:r w:rsidR="00E97889">
              <w:rPr>
                <w:noProof/>
                <w:webHidden/>
              </w:rPr>
            </w:r>
            <w:r w:rsidR="00E97889">
              <w:rPr>
                <w:noProof/>
                <w:webHidden/>
              </w:rPr>
              <w:fldChar w:fldCharType="separate"/>
            </w:r>
            <w:r w:rsidR="00E97889">
              <w:rPr>
                <w:noProof/>
                <w:webHidden/>
              </w:rPr>
              <w:t>10</w:t>
            </w:r>
            <w:r w:rsidR="00E97889">
              <w:rPr>
                <w:noProof/>
                <w:webHidden/>
              </w:rPr>
              <w:fldChar w:fldCharType="end"/>
            </w:r>
          </w:hyperlink>
        </w:p>
        <w:p w14:paraId="52DA586E" w14:textId="77777777" w:rsidR="00E97889" w:rsidRDefault="00C716C6">
          <w:pPr>
            <w:pStyle w:val="Sumrio1"/>
            <w:tabs>
              <w:tab w:val="left" w:pos="400"/>
              <w:tab w:val="right" w:leader="dot" w:pos="9061"/>
            </w:tabs>
            <w:rPr>
              <w:rFonts w:asciiTheme="minorHAnsi" w:eastAsiaTheme="minorEastAsia" w:hAnsiTheme="minorHAnsi"/>
              <w:noProof/>
              <w:color w:val="auto"/>
              <w:lang w:eastAsia="pt-BR"/>
            </w:rPr>
          </w:pPr>
          <w:hyperlink w:anchor="_Toc118105135" w:history="1">
            <w:r w:rsidR="00E97889" w:rsidRPr="00D54D9F">
              <w:rPr>
                <w:rStyle w:val="Hyperlink"/>
                <w:rFonts w:ascii="Segoe UI Symbol" w:hAnsi="Segoe UI Symbol"/>
                <w:noProof/>
              </w:rPr>
              <w:t>5</w:t>
            </w:r>
            <w:r w:rsidR="00E97889">
              <w:rPr>
                <w:rFonts w:asciiTheme="minorHAnsi" w:eastAsiaTheme="minorEastAsia" w:hAnsiTheme="minorHAnsi"/>
                <w:noProof/>
                <w:color w:val="auto"/>
                <w:lang w:eastAsia="pt-BR"/>
              </w:rPr>
              <w:tab/>
            </w:r>
            <w:r w:rsidR="00E97889" w:rsidRPr="00D54D9F">
              <w:rPr>
                <w:rStyle w:val="Hyperlink"/>
                <w:noProof/>
              </w:rPr>
              <w:t>APLICAÇÃO EM TÍTULOS PÚBLICOS</w:t>
            </w:r>
            <w:r w:rsidR="00E97889">
              <w:rPr>
                <w:noProof/>
                <w:webHidden/>
              </w:rPr>
              <w:tab/>
            </w:r>
            <w:r w:rsidR="00E97889">
              <w:rPr>
                <w:noProof/>
                <w:webHidden/>
              </w:rPr>
              <w:fldChar w:fldCharType="begin"/>
            </w:r>
            <w:r w:rsidR="00E97889">
              <w:rPr>
                <w:noProof/>
                <w:webHidden/>
              </w:rPr>
              <w:instrText xml:space="preserve"> PAGEREF _Toc118105135 \h </w:instrText>
            </w:r>
            <w:r w:rsidR="00E97889">
              <w:rPr>
                <w:noProof/>
                <w:webHidden/>
              </w:rPr>
            </w:r>
            <w:r w:rsidR="00E97889">
              <w:rPr>
                <w:noProof/>
                <w:webHidden/>
              </w:rPr>
              <w:fldChar w:fldCharType="separate"/>
            </w:r>
            <w:r w:rsidR="00E97889">
              <w:rPr>
                <w:noProof/>
                <w:webHidden/>
              </w:rPr>
              <w:t>11</w:t>
            </w:r>
            <w:r w:rsidR="00E97889">
              <w:rPr>
                <w:noProof/>
                <w:webHidden/>
              </w:rPr>
              <w:fldChar w:fldCharType="end"/>
            </w:r>
          </w:hyperlink>
        </w:p>
        <w:p w14:paraId="1D7F56B8" w14:textId="77777777" w:rsidR="00E97889" w:rsidRDefault="00C716C6">
          <w:pPr>
            <w:pStyle w:val="Sumrio1"/>
            <w:tabs>
              <w:tab w:val="left" w:pos="400"/>
              <w:tab w:val="right" w:leader="dot" w:pos="9061"/>
            </w:tabs>
            <w:rPr>
              <w:rFonts w:asciiTheme="minorHAnsi" w:eastAsiaTheme="minorEastAsia" w:hAnsiTheme="minorHAnsi"/>
              <w:noProof/>
              <w:color w:val="auto"/>
              <w:lang w:eastAsia="pt-BR"/>
            </w:rPr>
          </w:pPr>
          <w:hyperlink w:anchor="_Toc118105136" w:history="1">
            <w:r w:rsidR="00E97889" w:rsidRPr="00D54D9F">
              <w:rPr>
                <w:rStyle w:val="Hyperlink"/>
                <w:noProof/>
              </w:rPr>
              <w:t>6</w:t>
            </w:r>
            <w:r w:rsidR="00E97889">
              <w:rPr>
                <w:rFonts w:asciiTheme="minorHAnsi" w:eastAsiaTheme="minorEastAsia" w:hAnsiTheme="minorHAnsi"/>
                <w:noProof/>
                <w:color w:val="auto"/>
                <w:lang w:eastAsia="pt-BR"/>
              </w:rPr>
              <w:tab/>
            </w:r>
            <w:r w:rsidR="00E97889" w:rsidRPr="00D54D9F">
              <w:rPr>
                <w:rStyle w:val="Hyperlink"/>
                <w:noProof/>
              </w:rPr>
              <w:t>META DE RENTABILIDADE</w:t>
            </w:r>
            <w:r w:rsidR="00E97889">
              <w:rPr>
                <w:noProof/>
                <w:webHidden/>
              </w:rPr>
              <w:tab/>
            </w:r>
            <w:r w:rsidR="00E97889">
              <w:rPr>
                <w:noProof/>
                <w:webHidden/>
              </w:rPr>
              <w:fldChar w:fldCharType="begin"/>
            </w:r>
            <w:r w:rsidR="00E97889">
              <w:rPr>
                <w:noProof/>
                <w:webHidden/>
              </w:rPr>
              <w:instrText xml:space="preserve"> PAGEREF _Toc118105136 \h </w:instrText>
            </w:r>
            <w:r w:rsidR="00E97889">
              <w:rPr>
                <w:noProof/>
                <w:webHidden/>
              </w:rPr>
            </w:r>
            <w:r w:rsidR="00E97889">
              <w:rPr>
                <w:noProof/>
                <w:webHidden/>
              </w:rPr>
              <w:fldChar w:fldCharType="separate"/>
            </w:r>
            <w:r w:rsidR="00E97889">
              <w:rPr>
                <w:noProof/>
                <w:webHidden/>
              </w:rPr>
              <w:t>11</w:t>
            </w:r>
            <w:r w:rsidR="00E97889">
              <w:rPr>
                <w:noProof/>
                <w:webHidden/>
              </w:rPr>
              <w:fldChar w:fldCharType="end"/>
            </w:r>
          </w:hyperlink>
        </w:p>
        <w:p w14:paraId="392E93C1" w14:textId="77777777" w:rsidR="00E97889" w:rsidRDefault="00C716C6">
          <w:pPr>
            <w:pStyle w:val="Sumrio1"/>
            <w:tabs>
              <w:tab w:val="left" w:pos="400"/>
              <w:tab w:val="right" w:leader="dot" w:pos="9061"/>
            </w:tabs>
            <w:rPr>
              <w:rFonts w:asciiTheme="minorHAnsi" w:eastAsiaTheme="minorEastAsia" w:hAnsiTheme="minorHAnsi"/>
              <w:noProof/>
              <w:color w:val="auto"/>
              <w:lang w:eastAsia="pt-BR"/>
            </w:rPr>
          </w:pPr>
          <w:hyperlink w:anchor="_Toc118105137" w:history="1">
            <w:r w:rsidR="00E97889" w:rsidRPr="00D54D9F">
              <w:rPr>
                <w:rStyle w:val="Hyperlink"/>
                <w:noProof/>
              </w:rPr>
              <w:t>7</w:t>
            </w:r>
            <w:r w:rsidR="00E97889">
              <w:rPr>
                <w:rFonts w:asciiTheme="minorHAnsi" w:eastAsiaTheme="minorEastAsia" w:hAnsiTheme="minorHAnsi"/>
                <w:noProof/>
                <w:color w:val="auto"/>
                <w:lang w:eastAsia="pt-BR"/>
              </w:rPr>
              <w:tab/>
            </w:r>
            <w:r w:rsidR="00E97889" w:rsidRPr="00D54D9F">
              <w:rPr>
                <w:rStyle w:val="Hyperlink"/>
                <w:noProof/>
              </w:rPr>
              <w:t>CENÁRIO ECONÔMICO</w:t>
            </w:r>
            <w:r w:rsidR="00E97889">
              <w:rPr>
                <w:noProof/>
                <w:webHidden/>
              </w:rPr>
              <w:tab/>
            </w:r>
            <w:r w:rsidR="00E97889">
              <w:rPr>
                <w:noProof/>
                <w:webHidden/>
              </w:rPr>
              <w:fldChar w:fldCharType="begin"/>
            </w:r>
            <w:r w:rsidR="00E97889">
              <w:rPr>
                <w:noProof/>
                <w:webHidden/>
              </w:rPr>
              <w:instrText xml:space="preserve"> PAGEREF _Toc118105137 \h </w:instrText>
            </w:r>
            <w:r w:rsidR="00E97889">
              <w:rPr>
                <w:noProof/>
                <w:webHidden/>
              </w:rPr>
            </w:r>
            <w:r w:rsidR="00E97889">
              <w:rPr>
                <w:noProof/>
                <w:webHidden/>
              </w:rPr>
              <w:fldChar w:fldCharType="separate"/>
            </w:r>
            <w:r w:rsidR="00E97889">
              <w:rPr>
                <w:noProof/>
                <w:webHidden/>
              </w:rPr>
              <w:t>13</w:t>
            </w:r>
            <w:r w:rsidR="00E97889">
              <w:rPr>
                <w:noProof/>
                <w:webHidden/>
              </w:rPr>
              <w:fldChar w:fldCharType="end"/>
            </w:r>
          </w:hyperlink>
        </w:p>
        <w:p w14:paraId="4AE734D2" w14:textId="77777777" w:rsidR="00E97889" w:rsidRDefault="00C716C6">
          <w:pPr>
            <w:pStyle w:val="Sumrio2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color w:val="auto"/>
              <w:lang w:eastAsia="pt-BR"/>
            </w:rPr>
          </w:pPr>
          <w:hyperlink w:anchor="_Toc118105138" w:history="1">
            <w:r w:rsidR="00E97889" w:rsidRPr="00D54D9F">
              <w:rPr>
                <w:rStyle w:val="Hyperlink"/>
                <w:noProof/>
              </w:rPr>
              <w:t>EXPECTATIVAS DE MERCADO</w:t>
            </w:r>
            <w:r w:rsidR="00E97889">
              <w:rPr>
                <w:noProof/>
                <w:webHidden/>
              </w:rPr>
              <w:tab/>
            </w:r>
            <w:r w:rsidR="00E97889">
              <w:rPr>
                <w:noProof/>
                <w:webHidden/>
              </w:rPr>
              <w:fldChar w:fldCharType="begin"/>
            </w:r>
            <w:r w:rsidR="00E97889">
              <w:rPr>
                <w:noProof/>
                <w:webHidden/>
              </w:rPr>
              <w:instrText xml:space="preserve"> PAGEREF _Toc118105138 \h </w:instrText>
            </w:r>
            <w:r w:rsidR="00E97889">
              <w:rPr>
                <w:noProof/>
                <w:webHidden/>
              </w:rPr>
            </w:r>
            <w:r w:rsidR="00E97889">
              <w:rPr>
                <w:noProof/>
                <w:webHidden/>
              </w:rPr>
              <w:fldChar w:fldCharType="separate"/>
            </w:r>
            <w:r w:rsidR="00E97889">
              <w:rPr>
                <w:noProof/>
                <w:webHidden/>
              </w:rPr>
              <w:t>18</w:t>
            </w:r>
            <w:r w:rsidR="00E97889">
              <w:rPr>
                <w:noProof/>
                <w:webHidden/>
              </w:rPr>
              <w:fldChar w:fldCharType="end"/>
            </w:r>
          </w:hyperlink>
        </w:p>
        <w:p w14:paraId="22E230BC" w14:textId="77777777" w:rsidR="00E97889" w:rsidRDefault="00C716C6">
          <w:pPr>
            <w:pStyle w:val="Sumrio1"/>
            <w:tabs>
              <w:tab w:val="left" w:pos="400"/>
              <w:tab w:val="right" w:leader="dot" w:pos="9061"/>
            </w:tabs>
            <w:rPr>
              <w:rFonts w:asciiTheme="minorHAnsi" w:eastAsiaTheme="minorEastAsia" w:hAnsiTheme="minorHAnsi"/>
              <w:noProof/>
              <w:color w:val="auto"/>
              <w:lang w:eastAsia="pt-BR"/>
            </w:rPr>
          </w:pPr>
          <w:hyperlink w:anchor="_Toc118105139" w:history="1">
            <w:r w:rsidR="00E97889" w:rsidRPr="00D54D9F">
              <w:rPr>
                <w:rStyle w:val="Hyperlink"/>
                <w:noProof/>
              </w:rPr>
              <w:t>8</w:t>
            </w:r>
            <w:r w:rsidR="00E97889">
              <w:rPr>
                <w:rFonts w:asciiTheme="minorHAnsi" w:eastAsiaTheme="minorEastAsia" w:hAnsiTheme="minorHAnsi"/>
                <w:noProof/>
                <w:color w:val="auto"/>
                <w:lang w:eastAsia="pt-BR"/>
              </w:rPr>
              <w:tab/>
            </w:r>
            <w:r w:rsidR="00E97889" w:rsidRPr="00D54D9F">
              <w:rPr>
                <w:rStyle w:val="Hyperlink"/>
                <w:noProof/>
              </w:rPr>
              <w:t>ALOCAÇÃO ESTRATÉGICA DOS RECURSOS</w:t>
            </w:r>
            <w:r w:rsidR="00E97889">
              <w:rPr>
                <w:noProof/>
                <w:webHidden/>
              </w:rPr>
              <w:tab/>
            </w:r>
            <w:r w:rsidR="00E97889">
              <w:rPr>
                <w:noProof/>
                <w:webHidden/>
              </w:rPr>
              <w:fldChar w:fldCharType="begin"/>
            </w:r>
            <w:r w:rsidR="00E97889">
              <w:rPr>
                <w:noProof/>
                <w:webHidden/>
              </w:rPr>
              <w:instrText xml:space="preserve"> PAGEREF _Toc118105139 \h </w:instrText>
            </w:r>
            <w:r w:rsidR="00E97889">
              <w:rPr>
                <w:noProof/>
                <w:webHidden/>
              </w:rPr>
            </w:r>
            <w:r w:rsidR="00E97889">
              <w:rPr>
                <w:noProof/>
                <w:webHidden/>
              </w:rPr>
              <w:fldChar w:fldCharType="separate"/>
            </w:r>
            <w:r w:rsidR="00E97889">
              <w:rPr>
                <w:noProof/>
                <w:webHidden/>
              </w:rPr>
              <w:t>19</w:t>
            </w:r>
            <w:r w:rsidR="00E97889">
              <w:rPr>
                <w:noProof/>
                <w:webHidden/>
              </w:rPr>
              <w:fldChar w:fldCharType="end"/>
            </w:r>
          </w:hyperlink>
        </w:p>
        <w:p w14:paraId="5A746AF8" w14:textId="77777777" w:rsidR="00E97889" w:rsidRDefault="00C716C6">
          <w:pPr>
            <w:pStyle w:val="Sumrio2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color w:val="auto"/>
              <w:lang w:eastAsia="pt-BR"/>
            </w:rPr>
          </w:pPr>
          <w:hyperlink w:anchor="_Toc118105140" w:history="1">
            <w:r w:rsidR="00E97889" w:rsidRPr="00D54D9F">
              <w:rPr>
                <w:rStyle w:val="Hyperlink"/>
                <w:noProof/>
              </w:rPr>
              <w:t>SEGMENTO DE RENDA FIXA</w:t>
            </w:r>
            <w:r w:rsidR="00E97889">
              <w:rPr>
                <w:noProof/>
                <w:webHidden/>
              </w:rPr>
              <w:tab/>
            </w:r>
            <w:r w:rsidR="00E97889">
              <w:rPr>
                <w:noProof/>
                <w:webHidden/>
              </w:rPr>
              <w:fldChar w:fldCharType="begin"/>
            </w:r>
            <w:r w:rsidR="00E97889">
              <w:rPr>
                <w:noProof/>
                <w:webHidden/>
              </w:rPr>
              <w:instrText xml:space="preserve"> PAGEREF _Toc118105140 \h </w:instrText>
            </w:r>
            <w:r w:rsidR="00E97889">
              <w:rPr>
                <w:noProof/>
                <w:webHidden/>
              </w:rPr>
            </w:r>
            <w:r w:rsidR="00E97889">
              <w:rPr>
                <w:noProof/>
                <w:webHidden/>
              </w:rPr>
              <w:fldChar w:fldCharType="separate"/>
            </w:r>
            <w:r w:rsidR="00E97889">
              <w:rPr>
                <w:noProof/>
                <w:webHidden/>
              </w:rPr>
              <w:t>19</w:t>
            </w:r>
            <w:r w:rsidR="00E97889">
              <w:rPr>
                <w:noProof/>
                <w:webHidden/>
              </w:rPr>
              <w:fldChar w:fldCharType="end"/>
            </w:r>
          </w:hyperlink>
        </w:p>
        <w:p w14:paraId="3F38A1A8" w14:textId="77777777" w:rsidR="00E97889" w:rsidRDefault="00C716C6">
          <w:pPr>
            <w:pStyle w:val="Sumrio1"/>
            <w:tabs>
              <w:tab w:val="left" w:pos="400"/>
              <w:tab w:val="right" w:leader="dot" w:pos="9061"/>
            </w:tabs>
            <w:rPr>
              <w:rFonts w:asciiTheme="minorHAnsi" w:eastAsiaTheme="minorEastAsia" w:hAnsiTheme="minorHAnsi"/>
              <w:noProof/>
              <w:color w:val="auto"/>
              <w:lang w:eastAsia="pt-BR"/>
            </w:rPr>
          </w:pPr>
          <w:hyperlink w:anchor="_Toc118105141" w:history="1">
            <w:r w:rsidR="00E97889" w:rsidRPr="00D54D9F">
              <w:rPr>
                <w:rStyle w:val="Hyperlink"/>
                <w:noProof/>
              </w:rPr>
              <w:t>9</w:t>
            </w:r>
            <w:r w:rsidR="00E97889">
              <w:rPr>
                <w:rFonts w:asciiTheme="minorHAnsi" w:eastAsiaTheme="minorEastAsia" w:hAnsiTheme="minorHAnsi"/>
                <w:noProof/>
                <w:color w:val="auto"/>
                <w:lang w:eastAsia="pt-BR"/>
              </w:rPr>
              <w:tab/>
            </w:r>
            <w:r w:rsidR="00E97889" w:rsidRPr="00D54D9F">
              <w:rPr>
                <w:rStyle w:val="Hyperlink"/>
                <w:noProof/>
              </w:rPr>
              <w:t>SEGMENTO DE RENDA VARIÁVEL, INVESTIMENTOS ESTRUTURADOS E FUNDOS DE INVESTIMENTOS IMOBILIÁRIOS</w:t>
            </w:r>
            <w:r w:rsidR="00E97889">
              <w:rPr>
                <w:noProof/>
                <w:webHidden/>
              </w:rPr>
              <w:tab/>
            </w:r>
            <w:r w:rsidR="00E97889">
              <w:rPr>
                <w:noProof/>
                <w:webHidden/>
              </w:rPr>
              <w:fldChar w:fldCharType="begin"/>
            </w:r>
            <w:r w:rsidR="00E97889">
              <w:rPr>
                <w:noProof/>
                <w:webHidden/>
              </w:rPr>
              <w:instrText xml:space="preserve"> PAGEREF _Toc118105141 \h </w:instrText>
            </w:r>
            <w:r w:rsidR="00E97889">
              <w:rPr>
                <w:noProof/>
                <w:webHidden/>
              </w:rPr>
            </w:r>
            <w:r w:rsidR="00E97889">
              <w:rPr>
                <w:noProof/>
                <w:webHidden/>
              </w:rPr>
              <w:fldChar w:fldCharType="separate"/>
            </w:r>
            <w:r w:rsidR="00E97889">
              <w:rPr>
                <w:noProof/>
                <w:webHidden/>
              </w:rPr>
              <w:t>20</w:t>
            </w:r>
            <w:r w:rsidR="00E97889">
              <w:rPr>
                <w:noProof/>
                <w:webHidden/>
              </w:rPr>
              <w:fldChar w:fldCharType="end"/>
            </w:r>
          </w:hyperlink>
        </w:p>
        <w:p w14:paraId="7A9E83A4" w14:textId="77777777" w:rsidR="00E97889" w:rsidRDefault="00C716C6">
          <w:pPr>
            <w:pStyle w:val="Sumrio2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color w:val="auto"/>
              <w:lang w:eastAsia="pt-BR"/>
            </w:rPr>
          </w:pPr>
          <w:hyperlink w:anchor="_Toc118105142" w:history="1">
            <w:r w:rsidR="00E97889" w:rsidRPr="00D54D9F">
              <w:rPr>
                <w:rStyle w:val="Hyperlink"/>
                <w:noProof/>
              </w:rPr>
              <w:t>SEGMENTO DE INVESTIMENTOS NO EXTERIOR</w:t>
            </w:r>
            <w:r w:rsidR="00E97889">
              <w:rPr>
                <w:noProof/>
                <w:webHidden/>
              </w:rPr>
              <w:tab/>
            </w:r>
            <w:r w:rsidR="00E97889">
              <w:rPr>
                <w:noProof/>
                <w:webHidden/>
              </w:rPr>
              <w:fldChar w:fldCharType="begin"/>
            </w:r>
            <w:r w:rsidR="00E97889">
              <w:rPr>
                <w:noProof/>
                <w:webHidden/>
              </w:rPr>
              <w:instrText xml:space="preserve"> PAGEREF _Toc118105142 \h </w:instrText>
            </w:r>
            <w:r w:rsidR="00E97889">
              <w:rPr>
                <w:noProof/>
                <w:webHidden/>
              </w:rPr>
            </w:r>
            <w:r w:rsidR="00E97889">
              <w:rPr>
                <w:noProof/>
                <w:webHidden/>
              </w:rPr>
              <w:fldChar w:fldCharType="separate"/>
            </w:r>
            <w:r w:rsidR="00E97889">
              <w:rPr>
                <w:noProof/>
                <w:webHidden/>
              </w:rPr>
              <w:t>20</w:t>
            </w:r>
            <w:r w:rsidR="00E97889">
              <w:rPr>
                <w:noProof/>
                <w:webHidden/>
              </w:rPr>
              <w:fldChar w:fldCharType="end"/>
            </w:r>
          </w:hyperlink>
        </w:p>
        <w:p w14:paraId="2E2D3413" w14:textId="77777777" w:rsidR="00E97889" w:rsidRDefault="00C716C6">
          <w:pPr>
            <w:pStyle w:val="Sumrio3"/>
            <w:tabs>
              <w:tab w:val="left" w:pos="1100"/>
              <w:tab w:val="right" w:leader="dot" w:pos="9061"/>
            </w:tabs>
            <w:rPr>
              <w:rFonts w:asciiTheme="minorHAnsi" w:eastAsiaTheme="minorEastAsia" w:hAnsiTheme="minorHAnsi"/>
              <w:noProof/>
              <w:color w:val="auto"/>
              <w:lang w:eastAsia="pt-BR"/>
            </w:rPr>
          </w:pPr>
          <w:hyperlink w:anchor="_Toc118105143" w:history="1">
            <w:r w:rsidR="00E97889" w:rsidRPr="00D54D9F">
              <w:rPr>
                <w:rStyle w:val="Hyperlink"/>
                <w:noProof/>
              </w:rPr>
              <w:t>9.1.1</w:t>
            </w:r>
            <w:r w:rsidR="00E97889">
              <w:rPr>
                <w:rFonts w:asciiTheme="minorHAnsi" w:eastAsiaTheme="minorEastAsia" w:hAnsiTheme="minorHAnsi"/>
                <w:noProof/>
                <w:color w:val="auto"/>
                <w:lang w:eastAsia="pt-BR"/>
              </w:rPr>
              <w:tab/>
            </w:r>
            <w:r w:rsidR="00E97889" w:rsidRPr="00D54D9F">
              <w:rPr>
                <w:rStyle w:val="Hyperlink"/>
                <w:noProof/>
              </w:rPr>
              <w:t>EMPRÉSTIMO CONSIGNADO</w:t>
            </w:r>
            <w:r w:rsidR="00E97889">
              <w:rPr>
                <w:noProof/>
                <w:webHidden/>
              </w:rPr>
              <w:tab/>
            </w:r>
            <w:r w:rsidR="00E97889">
              <w:rPr>
                <w:noProof/>
                <w:webHidden/>
              </w:rPr>
              <w:fldChar w:fldCharType="begin"/>
            </w:r>
            <w:r w:rsidR="00E97889">
              <w:rPr>
                <w:noProof/>
                <w:webHidden/>
              </w:rPr>
              <w:instrText xml:space="preserve"> PAGEREF _Toc118105143 \h </w:instrText>
            </w:r>
            <w:r w:rsidR="00E97889">
              <w:rPr>
                <w:noProof/>
                <w:webHidden/>
              </w:rPr>
            </w:r>
            <w:r w:rsidR="00E97889">
              <w:rPr>
                <w:noProof/>
                <w:webHidden/>
              </w:rPr>
              <w:fldChar w:fldCharType="separate"/>
            </w:r>
            <w:r w:rsidR="00E97889">
              <w:rPr>
                <w:noProof/>
                <w:webHidden/>
              </w:rPr>
              <w:t>20</w:t>
            </w:r>
            <w:r w:rsidR="00E97889">
              <w:rPr>
                <w:noProof/>
                <w:webHidden/>
              </w:rPr>
              <w:fldChar w:fldCharType="end"/>
            </w:r>
          </w:hyperlink>
        </w:p>
        <w:p w14:paraId="17337C5F" w14:textId="77777777" w:rsidR="00E97889" w:rsidRDefault="00C716C6">
          <w:pPr>
            <w:pStyle w:val="Sumrio3"/>
            <w:tabs>
              <w:tab w:val="left" w:pos="1100"/>
              <w:tab w:val="right" w:leader="dot" w:pos="9061"/>
            </w:tabs>
            <w:rPr>
              <w:rFonts w:asciiTheme="minorHAnsi" w:eastAsiaTheme="minorEastAsia" w:hAnsiTheme="minorHAnsi"/>
              <w:noProof/>
              <w:color w:val="auto"/>
              <w:lang w:eastAsia="pt-BR"/>
            </w:rPr>
          </w:pPr>
          <w:hyperlink w:anchor="_Toc118105144" w:history="1">
            <w:r w:rsidR="00E97889" w:rsidRPr="00D54D9F">
              <w:rPr>
                <w:rStyle w:val="Hyperlink"/>
                <w:noProof/>
              </w:rPr>
              <w:t>9.1.2</w:t>
            </w:r>
            <w:r w:rsidR="00E97889">
              <w:rPr>
                <w:rFonts w:asciiTheme="minorHAnsi" w:eastAsiaTheme="minorEastAsia" w:hAnsiTheme="minorHAnsi"/>
                <w:noProof/>
                <w:color w:val="auto"/>
                <w:lang w:eastAsia="pt-BR"/>
              </w:rPr>
              <w:tab/>
            </w:r>
            <w:r w:rsidR="00E97889" w:rsidRPr="00D54D9F">
              <w:rPr>
                <w:rStyle w:val="Hyperlink"/>
                <w:noProof/>
              </w:rPr>
              <w:t>LIMITES GERAIS</w:t>
            </w:r>
            <w:r w:rsidR="00E97889">
              <w:rPr>
                <w:noProof/>
                <w:webHidden/>
              </w:rPr>
              <w:tab/>
            </w:r>
            <w:r w:rsidR="00E97889">
              <w:rPr>
                <w:noProof/>
                <w:webHidden/>
              </w:rPr>
              <w:fldChar w:fldCharType="begin"/>
            </w:r>
            <w:r w:rsidR="00E97889">
              <w:rPr>
                <w:noProof/>
                <w:webHidden/>
              </w:rPr>
              <w:instrText xml:space="preserve"> PAGEREF _Toc118105144 \h </w:instrText>
            </w:r>
            <w:r w:rsidR="00E97889">
              <w:rPr>
                <w:noProof/>
                <w:webHidden/>
              </w:rPr>
            </w:r>
            <w:r w:rsidR="00E97889">
              <w:rPr>
                <w:noProof/>
                <w:webHidden/>
              </w:rPr>
              <w:fldChar w:fldCharType="separate"/>
            </w:r>
            <w:r w:rsidR="00E97889">
              <w:rPr>
                <w:noProof/>
                <w:webHidden/>
              </w:rPr>
              <w:t>21</w:t>
            </w:r>
            <w:r w:rsidR="00E97889">
              <w:rPr>
                <w:noProof/>
                <w:webHidden/>
              </w:rPr>
              <w:fldChar w:fldCharType="end"/>
            </w:r>
          </w:hyperlink>
        </w:p>
        <w:p w14:paraId="2D36F638" w14:textId="77777777" w:rsidR="00E97889" w:rsidRDefault="00C716C6">
          <w:pPr>
            <w:pStyle w:val="Sumrio3"/>
            <w:tabs>
              <w:tab w:val="left" w:pos="1100"/>
              <w:tab w:val="right" w:leader="dot" w:pos="9061"/>
            </w:tabs>
            <w:rPr>
              <w:rFonts w:asciiTheme="minorHAnsi" w:eastAsiaTheme="minorEastAsia" w:hAnsiTheme="minorHAnsi"/>
              <w:noProof/>
              <w:color w:val="auto"/>
              <w:lang w:eastAsia="pt-BR"/>
            </w:rPr>
          </w:pPr>
          <w:hyperlink w:anchor="_Toc118105145" w:history="1">
            <w:r w:rsidR="00E97889" w:rsidRPr="00D54D9F">
              <w:rPr>
                <w:rStyle w:val="Hyperlink"/>
                <w:noProof/>
              </w:rPr>
              <w:t>9.1.3</w:t>
            </w:r>
            <w:r w:rsidR="00E97889">
              <w:rPr>
                <w:rFonts w:asciiTheme="minorHAnsi" w:eastAsiaTheme="minorEastAsia" w:hAnsiTheme="minorHAnsi"/>
                <w:noProof/>
                <w:color w:val="auto"/>
                <w:lang w:eastAsia="pt-BR"/>
              </w:rPr>
              <w:tab/>
            </w:r>
            <w:r w:rsidR="00E97889" w:rsidRPr="00D54D9F">
              <w:rPr>
                <w:rStyle w:val="Hyperlink"/>
                <w:noProof/>
              </w:rPr>
              <w:t>DEMAIS ENQUADRAMENTOS</w:t>
            </w:r>
            <w:r w:rsidR="00E97889">
              <w:rPr>
                <w:noProof/>
                <w:webHidden/>
              </w:rPr>
              <w:tab/>
            </w:r>
            <w:r w:rsidR="00E97889">
              <w:rPr>
                <w:noProof/>
                <w:webHidden/>
              </w:rPr>
              <w:fldChar w:fldCharType="begin"/>
            </w:r>
            <w:r w:rsidR="00E97889">
              <w:rPr>
                <w:noProof/>
                <w:webHidden/>
              </w:rPr>
              <w:instrText xml:space="preserve"> PAGEREF _Toc118105145 \h </w:instrText>
            </w:r>
            <w:r w:rsidR="00E97889">
              <w:rPr>
                <w:noProof/>
                <w:webHidden/>
              </w:rPr>
            </w:r>
            <w:r w:rsidR="00E97889">
              <w:rPr>
                <w:noProof/>
                <w:webHidden/>
              </w:rPr>
              <w:fldChar w:fldCharType="separate"/>
            </w:r>
            <w:r w:rsidR="00E97889">
              <w:rPr>
                <w:noProof/>
                <w:webHidden/>
              </w:rPr>
              <w:t>22</w:t>
            </w:r>
            <w:r w:rsidR="00E97889">
              <w:rPr>
                <w:noProof/>
                <w:webHidden/>
              </w:rPr>
              <w:fldChar w:fldCharType="end"/>
            </w:r>
          </w:hyperlink>
        </w:p>
        <w:p w14:paraId="3090948B" w14:textId="77777777" w:rsidR="00E97889" w:rsidRDefault="00C716C6">
          <w:pPr>
            <w:pStyle w:val="Sumrio3"/>
            <w:tabs>
              <w:tab w:val="left" w:pos="1100"/>
              <w:tab w:val="right" w:leader="dot" w:pos="9061"/>
            </w:tabs>
            <w:rPr>
              <w:rFonts w:asciiTheme="minorHAnsi" w:eastAsiaTheme="minorEastAsia" w:hAnsiTheme="minorHAnsi"/>
              <w:noProof/>
              <w:color w:val="auto"/>
              <w:lang w:eastAsia="pt-BR"/>
            </w:rPr>
          </w:pPr>
          <w:hyperlink w:anchor="_Toc118105146" w:history="1">
            <w:r w:rsidR="00E97889" w:rsidRPr="00D54D9F">
              <w:rPr>
                <w:rStyle w:val="Hyperlink"/>
                <w:noProof/>
              </w:rPr>
              <w:t>9.1.4</w:t>
            </w:r>
            <w:r w:rsidR="00E97889">
              <w:rPr>
                <w:rFonts w:asciiTheme="minorHAnsi" w:eastAsiaTheme="minorEastAsia" w:hAnsiTheme="minorHAnsi"/>
                <w:noProof/>
                <w:color w:val="auto"/>
                <w:lang w:eastAsia="pt-BR"/>
              </w:rPr>
              <w:tab/>
            </w:r>
            <w:r w:rsidR="00E97889" w:rsidRPr="00D54D9F">
              <w:rPr>
                <w:rStyle w:val="Hyperlink"/>
                <w:noProof/>
              </w:rPr>
              <w:t>VEDAÇÕES</w:t>
            </w:r>
            <w:r w:rsidR="00E97889">
              <w:rPr>
                <w:noProof/>
                <w:webHidden/>
              </w:rPr>
              <w:tab/>
            </w:r>
            <w:r w:rsidR="00E97889">
              <w:rPr>
                <w:noProof/>
                <w:webHidden/>
              </w:rPr>
              <w:fldChar w:fldCharType="begin"/>
            </w:r>
            <w:r w:rsidR="00E97889">
              <w:rPr>
                <w:noProof/>
                <w:webHidden/>
              </w:rPr>
              <w:instrText xml:space="preserve"> PAGEREF _Toc118105146 \h </w:instrText>
            </w:r>
            <w:r w:rsidR="00E97889">
              <w:rPr>
                <w:noProof/>
                <w:webHidden/>
              </w:rPr>
            </w:r>
            <w:r w:rsidR="00E97889">
              <w:rPr>
                <w:noProof/>
                <w:webHidden/>
              </w:rPr>
              <w:fldChar w:fldCharType="separate"/>
            </w:r>
            <w:r w:rsidR="00E97889">
              <w:rPr>
                <w:noProof/>
                <w:webHidden/>
              </w:rPr>
              <w:t>23</w:t>
            </w:r>
            <w:r w:rsidR="00E97889">
              <w:rPr>
                <w:noProof/>
                <w:webHidden/>
              </w:rPr>
              <w:fldChar w:fldCharType="end"/>
            </w:r>
          </w:hyperlink>
        </w:p>
        <w:p w14:paraId="359F55F0" w14:textId="77777777" w:rsidR="00E97889" w:rsidRDefault="00C716C6">
          <w:pPr>
            <w:pStyle w:val="Sumrio1"/>
            <w:tabs>
              <w:tab w:val="left" w:pos="660"/>
              <w:tab w:val="right" w:leader="dot" w:pos="9061"/>
            </w:tabs>
            <w:rPr>
              <w:rFonts w:asciiTheme="minorHAnsi" w:eastAsiaTheme="minorEastAsia" w:hAnsiTheme="minorHAnsi"/>
              <w:noProof/>
              <w:color w:val="auto"/>
              <w:lang w:eastAsia="pt-BR"/>
            </w:rPr>
          </w:pPr>
          <w:hyperlink w:anchor="_Toc118105147" w:history="1">
            <w:r w:rsidR="00E97889" w:rsidRPr="00D54D9F">
              <w:rPr>
                <w:rStyle w:val="Hyperlink"/>
                <w:noProof/>
              </w:rPr>
              <w:t>10</w:t>
            </w:r>
            <w:r w:rsidR="00E97889">
              <w:rPr>
                <w:rFonts w:asciiTheme="minorHAnsi" w:eastAsiaTheme="minorEastAsia" w:hAnsiTheme="minorHAnsi"/>
                <w:noProof/>
                <w:color w:val="auto"/>
                <w:lang w:eastAsia="pt-BR"/>
              </w:rPr>
              <w:tab/>
            </w:r>
            <w:r w:rsidR="00E97889" w:rsidRPr="00D54D9F">
              <w:rPr>
                <w:rStyle w:val="Hyperlink"/>
                <w:noProof/>
              </w:rPr>
              <w:t>CONTROLE DE RISCO</w:t>
            </w:r>
            <w:r w:rsidR="00E97889">
              <w:rPr>
                <w:noProof/>
                <w:webHidden/>
              </w:rPr>
              <w:tab/>
            </w:r>
            <w:r w:rsidR="00E97889">
              <w:rPr>
                <w:noProof/>
                <w:webHidden/>
              </w:rPr>
              <w:fldChar w:fldCharType="begin"/>
            </w:r>
            <w:r w:rsidR="00E97889">
              <w:rPr>
                <w:noProof/>
                <w:webHidden/>
              </w:rPr>
              <w:instrText xml:space="preserve"> PAGEREF _Toc118105147 \h </w:instrText>
            </w:r>
            <w:r w:rsidR="00E97889">
              <w:rPr>
                <w:noProof/>
                <w:webHidden/>
              </w:rPr>
            </w:r>
            <w:r w:rsidR="00E97889">
              <w:rPr>
                <w:noProof/>
                <w:webHidden/>
              </w:rPr>
              <w:fldChar w:fldCharType="separate"/>
            </w:r>
            <w:r w:rsidR="00E97889">
              <w:rPr>
                <w:noProof/>
                <w:webHidden/>
              </w:rPr>
              <w:t>23</w:t>
            </w:r>
            <w:r w:rsidR="00E97889">
              <w:rPr>
                <w:noProof/>
                <w:webHidden/>
              </w:rPr>
              <w:fldChar w:fldCharType="end"/>
            </w:r>
          </w:hyperlink>
        </w:p>
        <w:p w14:paraId="3CB0AFEE" w14:textId="77777777" w:rsidR="00E97889" w:rsidRDefault="00C716C6">
          <w:pPr>
            <w:pStyle w:val="Sumrio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color w:val="auto"/>
              <w:lang w:eastAsia="pt-BR"/>
            </w:rPr>
          </w:pPr>
          <w:hyperlink w:anchor="_Toc118105148" w:history="1">
            <w:r w:rsidR="00E97889" w:rsidRPr="00D54D9F">
              <w:rPr>
                <w:rStyle w:val="Hyperlink"/>
                <w:bCs/>
                <w:noProof/>
              </w:rPr>
              <w:t>10.1.1</w:t>
            </w:r>
            <w:r w:rsidR="00E97889">
              <w:rPr>
                <w:rFonts w:asciiTheme="minorHAnsi" w:eastAsiaTheme="minorEastAsia" w:hAnsiTheme="minorHAnsi"/>
                <w:noProof/>
                <w:color w:val="auto"/>
                <w:lang w:eastAsia="pt-BR"/>
              </w:rPr>
              <w:tab/>
            </w:r>
            <w:r w:rsidR="00E97889" w:rsidRPr="00D54D9F">
              <w:rPr>
                <w:rStyle w:val="Hyperlink"/>
                <w:noProof/>
              </w:rPr>
              <w:t>CONTROLE DO RISCO DE MERCADO</w:t>
            </w:r>
            <w:r w:rsidR="00E97889">
              <w:rPr>
                <w:noProof/>
                <w:webHidden/>
              </w:rPr>
              <w:tab/>
            </w:r>
            <w:r w:rsidR="00E97889">
              <w:rPr>
                <w:noProof/>
                <w:webHidden/>
              </w:rPr>
              <w:fldChar w:fldCharType="begin"/>
            </w:r>
            <w:r w:rsidR="00E97889">
              <w:rPr>
                <w:noProof/>
                <w:webHidden/>
              </w:rPr>
              <w:instrText xml:space="preserve"> PAGEREF _Toc118105148 \h </w:instrText>
            </w:r>
            <w:r w:rsidR="00E97889">
              <w:rPr>
                <w:noProof/>
                <w:webHidden/>
              </w:rPr>
            </w:r>
            <w:r w:rsidR="00E97889">
              <w:rPr>
                <w:noProof/>
                <w:webHidden/>
              </w:rPr>
              <w:fldChar w:fldCharType="separate"/>
            </w:r>
            <w:r w:rsidR="00E97889">
              <w:rPr>
                <w:noProof/>
                <w:webHidden/>
              </w:rPr>
              <w:t>24</w:t>
            </w:r>
            <w:r w:rsidR="00E97889">
              <w:rPr>
                <w:noProof/>
                <w:webHidden/>
              </w:rPr>
              <w:fldChar w:fldCharType="end"/>
            </w:r>
          </w:hyperlink>
        </w:p>
        <w:p w14:paraId="615A0BD6" w14:textId="77777777" w:rsidR="00E97889" w:rsidRDefault="00C716C6">
          <w:pPr>
            <w:pStyle w:val="Sumrio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color w:val="auto"/>
              <w:lang w:eastAsia="pt-BR"/>
            </w:rPr>
          </w:pPr>
          <w:hyperlink w:anchor="_Toc118105149" w:history="1">
            <w:r w:rsidR="00E97889" w:rsidRPr="00D54D9F">
              <w:rPr>
                <w:rStyle w:val="Hyperlink"/>
                <w:noProof/>
              </w:rPr>
              <w:t>10.1.2</w:t>
            </w:r>
            <w:r w:rsidR="00E97889">
              <w:rPr>
                <w:rFonts w:asciiTheme="minorHAnsi" w:eastAsiaTheme="minorEastAsia" w:hAnsiTheme="minorHAnsi"/>
                <w:noProof/>
                <w:color w:val="auto"/>
                <w:lang w:eastAsia="pt-BR"/>
              </w:rPr>
              <w:tab/>
            </w:r>
            <w:r w:rsidR="00E97889" w:rsidRPr="00D54D9F">
              <w:rPr>
                <w:rStyle w:val="Hyperlink"/>
                <w:noProof/>
              </w:rPr>
              <w:t>CONTROLE DO RISCO DE CRÉDITO</w:t>
            </w:r>
            <w:r w:rsidR="00E97889">
              <w:rPr>
                <w:noProof/>
                <w:webHidden/>
              </w:rPr>
              <w:tab/>
            </w:r>
            <w:r w:rsidR="00E97889">
              <w:rPr>
                <w:noProof/>
                <w:webHidden/>
              </w:rPr>
              <w:fldChar w:fldCharType="begin"/>
            </w:r>
            <w:r w:rsidR="00E97889">
              <w:rPr>
                <w:noProof/>
                <w:webHidden/>
              </w:rPr>
              <w:instrText xml:space="preserve"> PAGEREF _Toc118105149 \h </w:instrText>
            </w:r>
            <w:r w:rsidR="00E97889">
              <w:rPr>
                <w:noProof/>
                <w:webHidden/>
              </w:rPr>
            </w:r>
            <w:r w:rsidR="00E97889">
              <w:rPr>
                <w:noProof/>
                <w:webHidden/>
              </w:rPr>
              <w:fldChar w:fldCharType="separate"/>
            </w:r>
            <w:r w:rsidR="00E97889">
              <w:rPr>
                <w:noProof/>
                <w:webHidden/>
              </w:rPr>
              <w:t>25</w:t>
            </w:r>
            <w:r w:rsidR="00E97889">
              <w:rPr>
                <w:noProof/>
                <w:webHidden/>
              </w:rPr>
              <w:fldChar w:fldCharType="end"/>
            </w:r>
          </w:hyperlink>
        </w:p>
        <w:p w14:paraId="5684EA6E" w14:textId="77777777" w:rsidR="00E97889" w:rsidRDefault="00C716C6">
          <w:pPr>
            <w:pStyle w:val="Sumrio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color w:val="auto"/>
              <w:lang w:eastAsia="pt-BR"/>
            </w:rPr>
          </w:pPr>
          <w:hyperlink w:anchor="_Toc118105150" w:history="1">
            <w:r w:rsidR="00E97889" w:rsidRPr="00D54D9F">
              <w:rPr>
                <w:rStyle w:val="Hyperlink"/>
                <w:noProof/>
              </w:rPr>
              <w:t>10.1.3</w:t>
            </w:r>
            <w:r w:rsidR="00E97889">
              <w:rPr>
                <w:rFonts w:asciiTheme="minorHAnsi" w:eastAsiaTheme="minorEastAsia" w:hAnsiTheme="minorHAnsi"/>
                <w:noProof/>
                <w:color w:val="auto"/>
                <w:lang w:eastAsia="pt-BR"/>
              </w:rPr>
              <w:tab/>
            </w:r>
            <w:r w:rsidR="00E97889" w:rsidRPr="00D54D9F">
              <w:rPr>
                <w:rStyle w:val="Hyperlink"/>
                <w:noProof/>
              </w:rPr>
              <w:t>CONTROLE DO RISCO DE LIQUIDEZ</w:t>
            </w:r>
            <w:r w:rsidR="00E97889">
              <w:rPr>
                <w:noProof/>
                <w:webHidden/>
              </w:rPr>
              <w:tab/>
            </w:r>
            <w:r w:rsidR="00E97889">
              <w:rPr>
                <w:noProof/>
                <w:webHidden/>
              </w:rPr>
              <w:fldChar w:fldCharType="begin"/>
            </w:r>
            <w:r w:rsidR="00E97889">
              <w:rPr>
                <w:noProof/>
                <w:webHidden/>
              </w:rPr>
              <w:instrText xml:space="preserve"> PAGEREF _Toc118105150 \h </w:instrText>
            </w:r>
            <w:r w:rsidR="00E97889">
              <w:rPr>
                <w:noProof/>
                <w:webHidden/>
              </w:rPr>
            </w:r>
            <w:r w:rsidR="00E97889">
              <w:rPr>
                <w:noProof/>
                <w:webHidden/>
              </w:rPr>
              <w:fldChar w:fldCharType="separate"/>
            </w:r>
            <w:r w:rsidR="00E97889">
              <w:rPr>
                <w:noProof/>
                <w:webHidden/>
              </w:rPr>
              <w:t>25</w:t>
            </w:r>
            <w:r w:rsidR="00E97889">
              <w:rPr>
                <w:noProof/>
                <w:webHidden/>
              </w:rPr>
              <w:fldChar w:fldCharType="end"/>
            </w:r>
          </w:hyperlink>
        </w:p>
        <w:p w14:paraId="4422680F" w14:textId="77777777" w:rsidR="00E97889" w:rsidRDefault="00C716C6">
          <w:pPr>
            <w:pStyle w:val="Sumrio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color w:val="auto"/>
              <w:lang w:eastAsia="pt-BR"/>
            </w:rPr>
          </w:pPr>
          <w:hyperlink w:anchor="_Toc118105151" w:history="1">
            <w:r w:rsidR="00E97889" w:rsidRPr="00D54D9F">
              <w:rPr>
                <w:rStyle w:val="Hyperlink"/>
                <w:noProof/>
              </w:rPr>
              <w:t>10.1.4</w:t>
            </w:r>
            <w:r w:rsidR="00E97889">
              <w:rPr>
                <w:rFonts w:asciiTheme="minorHAnsi" w:eastAsiaTheme="minorEastAsia" w:hAnsiTheme="minorHAnsi"/>
                <w:noProof/>
                <w:color w:val="auto"/>
                <w:lang w:eastAsia="pt-BR"/>
              </w:rPr>
              <w:tab/>
            </w:r>
            <w:r w:rsidR="00E97889" w:rsidRPr="00D54D9F">
              <w:rPr>
                <w:rStyle w:val="Hyperlink"/>
                <w:noProof/>
              </w:rPr>
              <w:t>CRÉDITO CONSIGNADO</w:t>
            </w:r>
            <w:r w:rsidR="00E97889">
              <w:rPr>
                <w:noProof/>
                <w:webHidden/>
              </w:rPr>
              <w:tab/>
            </w:r>
            <w:r w:rsidR="00E97889">
              <w:rPr>
                <w:noProof/>
                <w:webHidden/>
              </w:rPr>
              <w:fldChar w:fldCharType="begin"/>
            </w:r>
            <w:r w:rsidR="00E97889">
              <w:rPr>
                <w:noProof/>
                <w:webHidden/>
              </w:rPr>
              <w:instrText xml:space="preserve"> PAGEREF _Toc118105151 \h </w:instrText>
            </w:r>
            <w:r w:rsidR="00E97889">
              <w:rPr>
                <w:noProof/>
                <w:webHidden/>
              </w:rPr>
            </w:r>
            <w:r w:rsidR="00E97889">
              <w:rPr>
                <w:noProof/>
                <w:webHidden/>
              </w:rPr>
              <w:fldChar w:fldCharType="separate"/>
            </w:r>
            <w:r w:rsidR="00E97889">
              <w:rPr>
                <w:noProof/>
                <w:webHidden/>
              </w:rPr>
              <w:t>25</w:t>
            </w:r>
            <w:r w:rsidR="00E97889">
              <w:rPr>
                <w:noProof/>
                <w:webHidden/>
              </w:rPr>
              <w:fldChar w:fldCharType="end"/>
            </w:r>
          </w:hyperlink>
        </w:p>
        <w:p w14:paraId="76FEE914" w14:textId="77777777" w:rsidR="00E97889" w:rsidRDefault="00C716C6">
          <w:pPr>
            <w:pStyle w:val="Sumrio1"/>
            <w:tabs>
              <w:tab w:val="left" w:pos="660"/>
              <w:tab w:val="right" w:leader="dot" w:pos="9061"/>
            </w:tabs>
            <w:rPr>
              <w:rFonts w:asciiTheme="minorHAnsi" w:eastAsiaTheme="minorEastAsia" w:hAnsiTheme="minorHAnsi"/>
              <w:noProof/>
              <w:color w:val="auto"/>
              <w:lang w:eastAsia="pt-BR"/>
            </w:rPr>
          </w:pPr>
          <w:hyperlink w:anchor="_Toc118105152" w:history="1">
            <w:r w:rsidR="00E97889" w:rsidRPr="00D54D9F">
              <w:rPr>
                <w:rStyle w:val="Hyperlink"/>
                <w:noProof/>
              </w:rPr>
              <w:t>11</w:t>
            </w:r>
            <w:r w:rsidR="00E97889">
              <w:rPr>
                <w:rFonts w:asciiTheme="minorHAnsi" w:eastAsiaTheme="minorEastAsia" w:hAnsiTheme="minorHAnsi"/>
                <w:noProof/>
                <w:color w:val="auto"/>
                <w:lang w:eastAsia="pt-BR"/>
              </w:rPr>
              <w:tab/>
            </w:r>
            <w:r w:rsidR="00E97889" w:rsidRPr="00D54D9F">
              <w:rPr>
                <w:rStyle w:val="Hyperlink"/>
                <w:noProof/>
              </w:rPr>
              <w:t>ALM – ASSET LIABILITY MANAGEMENT</w:t>
            </w:r>
            <w:r w:rsidR="00E97889">
              <w:rPr>
                <w:noProof/>
                <w:webHidden/>
              </w:rPr>
              <w:tab/>
            </w:r>
            <w:r w:rsidR="00E97889">
              <w:rPr>
                <w:noProof/>
                <w:webHidden/>
              </w:rPr>
              <w:fldChar w:fldCharType="begin"/>
            </w:r>
            <w:r w:rsidR="00E97889">
              <w:rPr>
                <w:noProof/>
                <w:webHidden/>
              </w:rPr>
              <w:instrText xml:space="preserve"> PAGEREF _Toc118105152 \h </w:instrText>
            </w:r>
            <w:r w:rsidR="00E97889">
              <w:rPr>
                <w:noProof/>
                <w:webHidden/>
              </w:rPr>
            </w:r>
            <w:r w:rsidR="00E97889">
              <w:rPr>
                <w:noProof/>
                <w:webHidden/>
              </w:rPr>
              <w:fldChar w:fldCharType="separate"/>
            </w:r>
            <w:r w:rsidR="00E97889">
              <w:rPr>
                <w:noProof/>
                <w:webHidden/>
              </w:rPr>
              <w:t>26</w:t>
            </w:r>
            <w:r w:rsidR="00E97889">
              <w:rPr>
                <w:noProof/>
                <w:webHidden/>
              </w:rPr>
              <w:fldChar w:fldCharType="end"/>
            </w:r>
          </w:hyperlink>
        </w:p>
        <w:p w14:paraId="2C40981B" w14:textId="77777777" w:rsidR="00E97889" w:rsidRDefault="00C716C6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color w:val="auto"/>
              <w:lang w:eastAsia="pt-BR"/>
            </w:rPr>
          </w:pPr>
          <w:hyperlink w:anchor="_Toc118105153" w:history="1">
            <w:r w:rsidR="00E97889" w:rsidRPr="00D54D9F">
              <w:rPr>
                <w:rStyle w:val="Hyperlink"/>
                <w:noProof/>
              </w:rPr>
              <w:t>11.1 Equilíbrio Econômico e Financeiro</w:t>
            </w:r>
            <w:r w:rsidR="00E97889">
              <w:rPr>
                <w:noProof/>
                <w:webHidden/>
              </w:rPr>
              <w:tab/>
            </w:r>
            <w:r w:rsidR="00E97889">
              <w:rPr>
                <w:noProof/>
                <w:webHidden/>
              </w:rPr>
              <w:fldChar w:fldCharType="begin"/>
            </w:r>
            <w:r w:rsidR="00E97889">
              <w:rPr>
                <w:noProof/>
                <w:webHidden/>
              </w:rPr>
              <w:instrText xml:space="preserve"> PAGEREF _Toc118105153 \h </w:instrText>
            </w:r>
            <w:r w:rsidR="00E97889">
              <w:rPr>
                <w:noProof/>
                <w:webHidden/>
              </w:rPr>
            </w:r>
            <w:r w:rsidR="00E97889">
              <w:rPr>
                <w:noProof/>
                <w:webHidden/>
              </w:rPr>
              <w:fldChar w:fldCharType="separate"/>
            </w:r>
            <w:r w:rsidR="00E97889">
              <w:rPr>
                <w:noProof/>
                <w:webHidden/>
              </w:rPr>
              <w:t>26</w:t>
            </w:r>
            <w:r w:rsidR="00E97889">
              <w:rPr>
                <w:noProof/>
                <w:webHidden/>
              </w:rPr>
              <w:fldChar w:fldCharType="end"/>
            </w:r>
          </w:hyperlink>
        </w:p>
        <w:p w14:paraId="451816C1" w14:textId="77777777" w:rsidR="00E97889" w:rsidRDefault="00C716C6">
          <w:pPr>
            <w:pStyle w:val="Sumrio1"/>
            <w:tabs>
              <w:tab w:val="left" w:pos="660"/>
              <w:tab w:val="right" w:leader="dot" w:pos="9061"/>
            </w:tabs>
            <w:rPr>
              <w:rFonts w:asciiTheme="minorHAnsi" w:eastAsiaTheme="minorEastAsia" w:hAnsiTheme="minorHAnsi"/>
              <w:noProof/>
              <w:color w:val="auto"/>
              <w:lang w:eastAsia="pt-BR"/>
            </w:rPr>
          </w:pPr>
          <w:hyperlink w:anchor="_Toc118105154" w:history="1">
            <w:r w:rsidR="00E97889" w:rsidRPr="00D54D9F">
              <w:rPr>
                <w:rStyle w:val="Hyperlink"/>
                <w:noProof/>
              </w:rPr>
              <w:t>12</w:t>
            </w:r>
            <w:r w:rsidR="00E97889">
              <w:rPr>
                <w:rFonts w:asciiTheme="minorHAnsi" w:eastAsiaTheme="minorEastAsia" w:hAnsiTheme="minorHAnsi"/>
                <w:noProof/>
                <w:color w:val="auto"/>
                <w:lang w:eastAsia="pt-BR"/>
              </w:rPr>
              <w:tab/>
            </w:r>
            <w:r w:rsidR="00E97889" w:rsidRPr="00D54D9F">
              <w:rPr>
                <w:rStyle w:val="Hyperlink"/>
                <w:noProof/>
              </w:rPr>
              <w:t>POLÍTICA DE TRANSPARÊNCIA</w:t>
            </w:r>
            <w:r w:rsidR="00E97889">
              <w:rPr>
                <w:noProof/>
                <w:webHidden/>
              </w:rPr>
              <w:tab/>
            </w:r>
            <w:r w:rsidR="00E97889">
              <w:rPr>
                <w:noProof/>
                <w:webHidden/>
              </w:rPr>
              <w:fldChar w:fldCharType="begin"/>
            </w:r>
            <w:r w:rsidR="00E97889">
              <w:rPr>
                <w:noProof/>
                <w:webHidden/>
              </w:rPr>
              <w:instrText xml:space="preserve"> PAGEREF _Toc118105154 \h </w:instrText>
            </w:r>
            <w:r w:rsidR="00E97889">
              <w:rPr>
                <w:noProof/>
                <w:webHidden/>
              </w:rPr>
            </w:r>
            <w:r w:rsidR="00E97889">
              <w:rPr>
                <w:noProof/>
                <w:webHidden/>
              </w:rPr>
              <w:fldChar w:fldCharType="separate"/>
            </w:r>
            <w:r w:rsidR="00E97889">
              <w:rPr>
                <w:noProof/>
                <w:webHidden/>
              </w:rPr>
              <w:t>26</w:t>
            </w:r>
            <w:r w:rsidR="00E97889">
              <w:rPr>
                <w:noProof/>
                <w:webHidden/>
              </w:rPr>
              <w:fldChar w:fldCharType="end"/>
            </w:r>
          </w:hyperlink>
        </w:p>
        <w:p w14:paraId="482DC6E0" w14:textId="77777777" w:rsidR="00E97889" w:rsidRDefault="00C716C6">
          <w:pPr>
            <w:pStyle w:val="Sumrio1"/>
            <w:tabs>
              <w:tab w:val="left" w:pos="660"/>
              <w:tab w:val="right" w:leader="dot" w:pos="9061"/>
            </w:tabs>
            <w:rPr>
              <w:rFonts w:asciiTheme="minorHAnsi" w:eastAsiaTheme="minorEastAsia" w:hAnsiTheme="minorHAnsi"/>
              <w:noProof/>
              <w:color w:val="auto"/>
              <w:lang w:eastAsia="pt-BR"/>
            </w:rPr>
          </w:pPr>
          <w:hyperlink w:anchor="_Toc118105155" w:history="1">
            <w:r w:rsidR="00E97889" w:rsidRPr="00D54D9F">
              <w:rPr>
                <w:rStyle w:val="Hyperlink"/>
                <w:noProof/>
              </w:rPr>
              <w:t>13</w:t>
            </w:r>
            <w:r w:rsidR="00E97889">
              <w:rPr>
                <w:rFonts w:asciiTheme="minorHAnsi" w:eastAsiaTheme="minorEastAsia" w:hAnsiTheme="minorHAnsi"/>
                <w:noProof/>
                <w:color w:val="auto"/>
                <w:lang w:eastAsia="pt-BR"/>
              </w:rPr>
              <w:tab/>
            </w:r>
            <w:r w:rsidR="00E97889" w:rsidRPr="00D54D9F">
              <w:rPr>
                <w:rStyle w:val="Hyperlink"/>
                <w:noProof/>
              </w:rPr>
              <w:t>CREDENCIAMENTO</w:t>
            </w:r>
            <w:r w:rsidR="00E97889">
              <w:rPr>
                <w:noProof/>
                <w:webHidden/>
              </w:rPr>
              <w:tab/>
            </w:r>
            <w:r w:rsidR="00E97889">
              <w:rPr>
                <w:noProof/>
                <w:webHidden/>
              </w:rPr>
              <w:fldChar w:fldCharType="begin"/>
            </w:r>
            <w:r w:rsidR="00E97889">
              <w:rPr>
                <w:noProof/>
                <w:webHidden/>
              </w:rPr>
              <w:instrText xml:space="preserve"> PAGEREF _Toc118105155 \h </w:instrText>
            </w:r>
            <w:r w:rsidR="00E97889">
              <w:rPr>
                <w:noProof/>
                <w:webHidden/>
              </w:rPr>
            </w:r>
            <w:r w:rsidR="00E97889">
              <w:rPr>
                <w:noProof/>
                <w:webHidden/>
              </w:rPr>
              <w:fldChar w:fldCharType="separate"/>
            </w:r>
            <w:r w:rsidR="00E97889">
              <w:rPr>
                <w:noProof/>
                <w:webHidden/>
              </w:rPr>
              <w:t>27</w:t>
            </w:r>
            <w:r w:rsidR="00E97889">
              <w:rPr>
                <w:noProof/>
                <w:webHidden/>
              </w:rPr>
              <w:fldChar w:fldCharType="end"/>
            </w:r>
          </w:hyperlink>
        </w:p>
        <w:p w14:paraId="1F335445" w14:textId="77777777" w:rsidR="00E97889" w:rsidRDefault="00C716C6">
          <w:pPr>
            <w:pStyle w:val="Sumrio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color w:val="auto"/>
              <w:lang w:eastAsia="pt-BR"/>
            </w:rPr>
          </w:pPr>
          <w:hyperlink w:anchor="_Toc118105156" w:history="1">
            <w:r w:rsidR="00E97889" w:rsidRPr="00D54D9F">
              <w:rPr>
                <w:rStyle w:val="Hyperlink"/>
                <w:noProof/>
              </w:rPr>
              <w:t>13.1.1</w:t>
            </w:r>
            <w:r w:rsidR="00E97889">
              <w:rPr>
                <w:rFonts w:asciiTheme="minorHAnsi" w:eastAsiaTheme="minorEastAsia" w:hAnsiTheme="minorHAnsi"/>
                <w:noProof/>
                <w:color w:val="auto"/>
                <w:lang w:eastAsia="pt-BR"/>
              </w:rPr>
              <w:tab/>
            </w:r>
            <w:r w:rsidR="00E97889" w:rsidRPr="00D54D9F">
              <w:rPr>
                <w:rStyle w:val="Hyperlink"/>
                <w:noProof/>
              </w:rPr>
              <w:t>PROCESSO DE EXECUÇÃO</w:t>
            </w:r>
            <w:r w:rsidR="00E97889">
              <w:rPr>
                <w:noProof/>
                <w:webHidden/>
              </w:rPr>
              <w:tab/>
            </w:r>
            <w:r w:rsidR="00E97889">
              <w:rPr>
                <w:noProof/>
                <w:webHidden/>
              </w:rPr>
              <w:fldChar w:fldCharType="begin"/>
            </w:r>
            <w:r w:rsidR="00E97889">
              <w:rPr>
                <w:noProof/>
                <w:webHidden/>
              </w:rPr>
              <w:instrText xml:space="preserve"> PAGEREF _Toc118105156 \h </w:instrText>
            </w:r>
            <w:r w:rsidR="00E97889">
              <w:rPr>
                <w:noProof/>
                <w:webHidden/>
              </w:rPr>
            </w:r>
            <w:r w:rsidR="00E97889">
              <w:rPr>
                <w:noProof/>
                <w:webHidden/>
              </w:rPr>
              <w:fldChar w:fldCharType="separate"/>
            </w:r>
            <w:r w:rsidR="00E97889">
              <w:rPr>
                <w:noProof/>
                <w:webHidden/>
              </w:rPr>
              <w:t>29</w:t>
            </w:r>
            <w:r w:rsidR="00E97889">
              <w:rPr>
                <w:noProof/>
                <w:webHidden/>
              </w:rPr>
              <w:fldChar w:fldCharType="end"/>
            </w:r>
          </w:hyperlink>
        </w:p>
        <w:p w14:paraId="0F34AD31" w14:textId="77777777" w:rsidR="00E97889" w:rsidRDefault="00C716C6">
          <w:pPr>
            <w:pStyle w:val="Sumrio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color w:val="auto"/>
              <w:lang w:eastAsia="pt-BR"/>
            </w:rPr>
          </w:pPr>
          <w:hyperlink w:anchor="_Toc118105157" w:history="1">
            <w:r w:rsidR="00E97889" w:rsidRPr="00D54D9F">
              <w:rPr>
                <w:rStyle w:val="Hyperlink"/>
                <w:noProof/>
              </w:rPr>
              <w:t>13.1.2</w:t>
            </w:r>
            <w:r w:rsidR="00E97889">
              <w:rPr>
                <w:rFonts w:asciiTheme="minorHAnsi" w:eastAsiaTheme="minorEastAsia" w:hAnsiTheme="minorHAnsi"/>
                <w:noProof/>
                <w:color w:val="auto"/>
                <w:lang w:eastAsia="pt-BR"/>
              </w:rPr>
              <w:tab/>
            </w:r>
            <w:r w:rsidR="00E97889" w:rsidRPr="00D54D9F">
              <w:rPr>
                <w:rStyle w:val="Hyperlink"/>
                <w:noProof/>
              </w:rPr>
              <w:t>VALIDADE</w:t>
            </w:r>
            <w:r w:rsidR="00E97889">
              <w:rPr>
                <w:noProof/>
                <w:webHidden/>
              </w:rPr>
              <w:tab/>
            </w:r>
            <w:r w:rsidR="00E97889">
              <w:rPr>
                <w:noProof/>
                <w:webHidden/>
              </w:rPr>
              <w:fldChar w:fldCharType="begin"/>
            </w:r>
            <w:r w:rsidR="00E97889">
              <w:rPr>
                <w:noProof/>
                <w:webHidden/>
              </w:rPr>
              <w:instrText xml:space="preserve"> PAGEREF _Toc118105157 \h </w:instrText>
            </w:r>
            <w:r w:rsidR="00E97889">
              <w:rPr>
                <w:noProof/>
                <w:webHidden/>
              </w:rPr>
            </w:r>
            <w:r w:rsidR="00E97889">
              <w:rPr>
                <w:noProof/>
                <w:webHidden/>
              </w:rPr>
              <w:fldChar w:fldCharType="separate"/>
            </w:r>
            <w:r w:rsidR="00E97889">
              <w:rPr>
                <w:noProof/>
                <w:webHidden/>
              </w:rPr>
              <w:t>29</w:t>
            </w:r>
            <w:r w:rsidR="00E97889">
              <w:rPr>
                <w:noProof/>
                <w:webHidden/>
              </w:rPr>
              <w:fldChar w:fldCharType="end"/>
            </w:r>
          </w:hyperlink>
        </w:p>
        <w:p w14:paraId="72E4E745" w14:textId="77777777" w:rsidR="00E97889" w:rsidRDefault="00C716C6">
          <w:pPr>
            <w:pStyle w:val="Sumrio1"/>
            <w:tabs>
              <w:tab w:val="left" w:pos="660"/>
              <w:tab w:val="right" w:leader="dot" w:pos="9061"/>
            </w:tabs>
            <w:rPr>
              <w:rFonts w:asciiTheme="minorHAnsi" w:eastAsiaTheme="minorEastAsia" w:hAnsiTheme="minorHAnsi"/>
              <w:noProof/>
              <w:color w:val="auto"/>
              <w:lang w:eastAsia="pt-BR"/>
            </w:rPr>
          </w:pPr>
          <w:hyperlink w:anchor="_Toc118105158" w:history="1">
            <w:r w:rsidR="00E97889" w:rsidRPr="00D54D9F">
              <w:rPr>
                <w:rStyle w:val="Hyperlink"/>
                <w:noProof/>
              </w:rPr>
              <w:t>14</w:t>
            </w:r>
            <w:r w:rsidR="00E97889">
              <w:rPr>
                <w:rFonts w:asciiTheme="minorHAnsi" w:eastAsiaTheme="minorEastAsia" w:hAnsiTheme="minorHAnsi"/>
                <w:noProof/>
                <w:color w:val="auto"/>
                <w:lang w:eastAsia="pt-BR"/>
              </w:rPr>
              <w:tab/>
            </w:r>
            <w:r w:rsidR="00E97889" w:rsidRPr="00D54D9F">
              <w:rPr>
                <w:rStyle w:val="Hyperlink"/>
                <w:noProof/>
              </w:rPr>
              <w:t>PRECIFICAÇÃO DE ATIVOS</w:t>
            </w:r>
            <w:r w:rsidR="00E97889">
              <w:rPr>
                <w:noProof/>
                <w:webHidden/>
              </w:rPr>
              <w:tab/>
            </w:r>
            <w:r w:rsidR="00E97889">
              <w:rPr>
                <w:noProof/>
                <w:webHidden/>
              </w:rPr>
              <w:fldChar w:fldCharType="begin"/>
            </w:r>
            <w:r w:rsidR="00E97889">
              <w:rPr>
                <w:noProof/>
                <w:webHidden/>
              </w:rPr>
              <w:instrText xml:space="preserve"> PAGEREF _Toc118105158 \h </w:instrText>
            </w:r>
            <w:r w:rsidR="00E97889">
              <w:rPr>
                <w:noProof/>
                <w:webHidden/>
              </w:rPr>
            </w:r>
            <w:r w:rsidR="00E97889">
              <w:rPr>
                <w:noProof/>
                <w:webHidden/>
              </w:rPr>
              <w:fldChar w:fldCharType="separate"/>
            </w:r>
            <w:r w:rsidR="00E97889">
              <w:rPr>
                <w:noProof/>
                <w:webHidden/>
              </w:rPr>
              <w:t>29</w:t>
            </w:r>
            <w:r w:rsidR="00E97889">
              <w:rPr>
                <w:noProof/>
                <w:webHidden/>
              </w:rPr>
              <w:fldChar w:fldCharType="end"/>
            </w:r>
          </w:hyperlink>
        </w:p>
        <w:p w14:paraId="5289444A" w14:textId="77777777" w:rsidR="00E97889" w:rsidRDefault="00C716C6">
          <w:pPr>
            <w:pStyle w:val="Sumrio2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color w:val="auto"/>
              <w:lang w:eastAsia="pt-BR"/>
            </w:rPr>
          </w:pPr>
          <w:hyperlink w:anchor="_Toc118105159" w:history="1">
            <w:r w:rsidR="00E97889" w:rsidRPr="00D54D9F">
              <w:rPr>
                <w:rStyle w:val="Hyperlink"/>
                <w:noProof/>
              </w:rPr>
              <w:t>METODOLOGIA</w:t>
            </w:r>
            <w:r w:rsidR="00E97889">
              <w:rPr>
                <w:noProof/>
                <w:webHidden/>
              </w:rPr>
              <w:tab/>
            </w:r>
            <w:r w:rsidR="00E97889">
              <w:rPr>
                <w:noProof/>
                <w:webHidden/>
              </w:rPr>
              <w:fldChar w:fldCharType="begin"/>
            </w:r>
            <w:r w:rsidR="00E97889">
              <w:rPr>
                <w:noProof/>
                <w:webHidden/>
              </w:rPr>
              <w:instrText xml:space="preserve"> PAGEREF _Toc118105159 \h </w:instrText>
            </w:r>
            <w:r w:rsidR="00E97889">
              <w:rPr>
                <w:noProof/>
                <w:webHidden/>
              </w:rPr>
            </w:r>
            <w:r w:rsidR="00E97889">
              <w:rPr>
                <w:noProof/>
                <w:webHidden/>
              </w:rPr>
              <w:fldChar w:fldCharType="separate"/>
            </w:r>
            <w:r w:rsidR="00E97889">
              <w:rPr>
                <w:noProof/>
                <w:webHidden/>
              </w:rPr>
              <w:t>30</w:t>
            </w:r>
            <w:r w:rsidR="00E97889">
              <w:rPr>
                <w:noProof/>
                <w:webHidden/>
              </w:rPr>
              <w:fldChar w:fldCharType="end"/>
            </w:r>
          </w:hyperlink>
        </w:p>
        <w:p w14:paraId="770DBF65" w14:textId="77777777" w:rsidR="00E97889" w:rsidRDefault="00C716C6">
          <w:pPr>
            <w:pStyle w:val="Sumrio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color w:val="auto"/>
              <w:lang w:eastAsia="pt-BR"/>
            </w:rPr>
          </w:pPr>
          <w:hyperlink w:anchor="_Toc118105160" w:history="1">
            <w:r w:rsidR="00E97889" w:rsidRPr="00D54D9F">
              <w:rPr>
                <w:rStyle w:val="Hyperlink"/>
                <w:noProof/>
              </w:rPr>
              <w:t>14.1.1</w:t>
            </w:r>
            <w:r w:rsidR="00E97889">
              <w:rPr>
                <w:rFonts w:asciiTheme="minorHAnsi" w:eastAsiaTheme="minorEastAsia" w:hAnsiTheme="minorHAnsi"/>
                <w:noProof/>
                <w:color w:val="auto"/>
                <w:lang w:eastAsia="pt-BR"/>
              </w:rPr>
              <w:tab/>
            </w:r>
            <w:r w:rsidR="00E97889" w:rsidRPr="00D54D9F">
              <w:rPr>
                <w:rStyle w:val="Hyperlink"/>
                <w:noProof/>
              </w:rPr>
              <w:t>MARCAÇÕES</w:t>
            </w:r>
            <w:r w:rsidR="00E97889">
              <w:rPr>
                <w:noProof/>
                <w:webHidden/>
              </w:rPr>
              <w:tab/>
            </w:r>
            <w:r w:rsidR="00E97889">
              <w:rPr>
                <w:noProof/>
                <w:webHidden/>
              </w:rPr>
              <w:fldChar w:fldCharType="begin"/>
            </w:r>
            <w:r w:rsidR="00E97889">
              <w:rPr>
                <w:noProof/>
                <w:webHidden/>
              </w:rPr>
              <w:instrText xml:space="preserve"> PAGEREF _Toc118105160 \h </w:instrText>
            </w:r>
            <w:r w:rsidR="00E97889">
              <w:rPr>
                <w:noProof/>
                <w:webHidden/>
              </w:rPr>
            </w:r>
            <w:r w:rsidR="00E97889">
              <w:rPr>
                <w:noProof/>
                <w:webHidden/>
              </w:rPr>
              <w:fldChar w:fldCharType="separate"/>
            </w:r>
            <w:r w:rsidR="00E97889">
              <w:rPr>
                <w:noProof/>
                <w:webHidden/>
              </w:rPr>
              <w:t>30</w:t>
            </w:r>
            <w:r w:rsidR="00E97889">
              <w:rPr>
                <w:noProof/>
                <w:webHidden/>
              </w:rPr>
              <w:fldChar w:fldCharType="end"/>
            </w:r>
          </w:hyperlink>
        </w:p>
        <w:p w14:paraId="657470D6" w14:textId="77777777" w:rsidR="00E97889" w:rsidRDefault="00C716C6">
          <w:pPr>
            <w:pStyle w:val="Sumrio2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color w:val="auto"/>
              <w:lang w:eastAsia="pt-BR"/>
            </w:rPr>
          </w:pPr>
          <w:hyperlink w:anchor="_Toc118105161" w:history="1">
            <w:r w:rsidR="00E97889" w:rsidRPr="00D54D9F">
              <w:rPr>
                <w:rStyle w:val="Hyperlink"/>
                <w:noProof/>
              </w:rPr>
              <w:t>CRITÉRIOS DE PRECIFICAÇÃO</w:t>
            </w:r>
            <w:r w:rsidR="00E97889">
              <w:rPr>
                <w:noProof/>
                <w:webHidden/>
              </w:rPr>
              <w:tab/>
            </w:r>
            <w:r w:rsidR="00E97889">
              <w:rPr>
                <w:noProof/>
                <w:webHidden/>
              </w:rPr>
              <w:fldChar w:fldCharType="begin"/>
            </w:r>
            <w:r w:rsidR="00E97889">
              <w:rPr>
                <w:noProof/>
                <w:webHidden/>
              </w:rPr>
              <w:instrText xml:space="preserve"> PAGEREF _Toc118105161 \h </w:instrText>
            </w:r>
            <w:r w:rsidR="00E97889">
              <w:rPr>
                <w:noProof/>
                <w:webHidden/>
              </w:rPr>
            </w:r>
            <w:r w:rsidR="00E97889">
              <w:rPr>
                <w:noProof/>
                <w:webHidden/>
              </w:rPr>
              <w:fldChar w:fldCharType="separate"/>
            </w:r>
            <w:r w:rsidR="00E97889">
              <w:rPr>
                <w:noProof/>
                <w:webHidden/>
              </w:rPr>
              <w:t>30</w:t>
            </w:r>
            <w:r w:rsidR="00E97889">
              <w:rPr>
                <w:noProof/>
                <w:webHidden/>
              </w:rPr>
              <w:fldChar w:fldCharType="end"/>
            </w:r>
          </w:hyperlink>
        </w:p>
        <w:p w14:paraId="3F19B85B" w14:textId="77777777" w:rsidR="00E97889" w:rsidRDefault="00C716C6">
          <w:pPr>
            <w:pStyle w:val="Sumrio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color w:val="auto"/>
              <w:lang w:eastAsia="pt-BR"/>
            </w:rPr>
          </w:pPr>
          <w:hyperlink w:anchor="_Toc118105162" w:history="1">
            <w:r w:rsidR="00E97889" w:rsidRPr="00D54D9F">
              <w:rPr>
                <w:rStyle w:val="Hyperlink"/>
                <w:noProof/>
              </w:rPr>
              <w:t>14.1.2</w:t>
            </w:r>
            <w:r w:rsidR="00E97889">
              <w:rPr>
                <w:rFonts w:asciiTheme="minorHAnsi" w:eastAsiaTheme="minorEastAsia" w:hAnsiTheme="minorHAnsi"/>
                <w:noProof/>
                <w:color w:val="auto"/>
                <w:lang w:eastAsia="pt-BR"/>
              </w:rPr>
              <w:tab/>
            </w:r>
            <w:r w:rsidR="00E97889" w:rsidRPr="00D54D9F">
              <w:rPr>
                <w:rStyle w:val="Hyperlink"/>
                <w:noProof/>
              </w:rPr>
              <w:t>TÍTULOS PÚBLICOS FEDERAIS</w:t>
            </w:r>
            <w:r w:rsidR="00E97889">
              <w:rPr>
                <w:noProof/>
                <w:webHidden/>
              </w:rPr>
              <w:tab/>
            </w:r>
            <w:r w:rsidR="00E97889">
              <w:rPr>
                <w:noProof/>
                <w:webHidden/>
              </w:rPr>
              <w:fldChar w:fldCharType="begin"/>
            </w:r>
            <w:r w:rsidR="00E97889">
              <w:rPr>
                <w:noProof/>
                <w:webHidden/>
              </w:rPr>
              <w:instrText xml:space="preserve"> PAGEREF _Toc118105162 \h </w:instrText>
            </w:r>
            <w:r w:rsidR="00E97889">
              <w:rPr>
                <w:noProof/>
                <w:webHidden/>
              </w:rPr>
            </w:r>
            <w:r w:rsidR="00E97889">
              <w:rPr>
                <w:noProof/>
                <w:webHidden/>
              </w:rPr>
              <w:fldChar w:fldCharType="separate"/>
            </w:r>
            <w:r w:rsidR="00E97889">
              <w:rPr>
                <w:noProof/>
                <w:webHidden/>
              </w:rPr>
              <w:t>30</w:t>
            </w:r>
            <w:r w:rsidR="00E97889">
              <w:rPr>
                <w:noProof/>
                <w:webHidden/>
              </w:rPr>
              <w:fldChar w:fldCharType="end"/>
            </w:r>
          </w:hyperlink>
        </w:p>
        <w:p w14:paraId="58C24323" w14:textId="77777777" w:rsidR="00E97889" w:rsidRDefault="00C716C6">
          <w:pPr>
            <w:pStyle w:val="Sumrio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color w:val="auto"/>
              <w:lang w:eastAsia="pt-BR"/>
            </w:rPr>
          </w:pPr>
          <w:hyperlink w:anchor="_Toc118105163" w:history="1">
            <w:r w:rsidR="00E97889" w:rsidRPr="00D54D9F">
              <w:rPr>
                <w:rStyle w:val="Hyperlink"/>
                <w:noProof/>
              </w:rPr>
              <w:t>14.1.3</w:t>
            </w:r>
            <w:r w:rsidR="00E97889">
              <w:rPr>
                <w:rFonts w:asciiTheme="minorHAnsi" w:eastAsiaTheme="minorEastAsia" w:hAnsiTheme="minorHAnsi"/>
                <w:noProof/>
                <w:color w:val="auto"/>
                <w:lang w:eastAsia="pt-BR"/>
              </w:rPr>
              <w:tab/>
            </w:r>
            <w:r w:rsidR="00E97889" w:rsidRPr="00D54D9F">
              <w:rPr>
                <w:rStyle w:val="Hyperlink"/>
                <w:noProof/>
              </w:rPr>
              <w:t>FUNDOS DE INVESTIMENTOS</w:t>
            </w:r>
            <w:r w:rsidR="00E97889">
              <w:rPr>
                <w:noProof/>
                <w:webHidden/>
              </w:rPr>
              <w:tab/>
            </w:r>
            <w:r w:rsidR="00E97889">
              <w:rPr>
                <w:noProof/>
                <w:webHidden/>
              </w:rPr>
              <w:fldChar w:fldCharType="begin"/>
            </w:r>
            <w:r w:rsidR="00E97889">
              <w:rPr>
                <w:noProof/>
                <w:webHidden/>
              </w:rPr>
              <w:instrText xml:space="preserve"> PAGEREF _Toc118105163 \h </w:instrText>
            </w:r>
            <w:r w:rsidR="00E97889">
              <w:rPr>
                <w:noProof/>
                <w:webHidden/>
              </w:rPr>
            </w:r>
            <w:r w:rsidR="00E97889">
              <w:rPr>
                <w:noProof/>
                <w:webHidden/>
              </w:rPr>
              <w:fldChar w:fldCharType="separate"/>
            </w:r>
            <w:r w:rsidR="00E97889">
              <w:rPr>
                <w:noProof/>
                <w:webHidden/>
              </w:rPr>
              <w:t>33</w:t>
            </w:r>
            <w:r w:rsidR="00E97889">
              <w:rPr>
                <w:noProof/>
                <w:webHidden/>
              </w:rPr>
              <w:fldChar w:fldCharType="end"/>
            </w:r>
          </w:hyperlink>
        </w:p>
        <w:p w14:paraId="2F968BE1" w14:textId="77777777" w:rsidR="00E97889" w:rsidRDefault="00C716C6">
          <w:pPr>
            <w:pStyle w:val="Sumrio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color w:val="auto"/>
              <w:lang w:eastAsia="pt-BR"/>
            </w:rPr>
          </w:pPr>
          <w:hyperlink w:anchor="_Toc118105164" w:history="1">
            <w:r w:rsidR="00E97889" w:rsidRPr="00D54D9F">
              <w:rPr>
                <w:rStyle w:val="Hyperlink"/>
                <w:noProof/>
              </w:rPr>
              <w:t>14.1.4</w:t>
            </w:r>
            <w:r w:rsidR="00E97889">
              <w:rPr>
                <w:rFonts w:asciiTheme="minorHAnsi" w:eastAsiaTheme="minorEastAsia" w:hAnsiTheme="minorHAnsi"/>
                <w:noProof/>
                <w:color w:val="auto"/>
                <w:lang w:eastAsia="pt-BR"/>
              </w:rPr>
              <w:tab/>
            </w:r>
            <w:r w:rsidR="00E97889" w:rsidRPr="00D54D9F">
              <w:rPr>
                <w:rStyle w:val="Hyperlink"/>
                <w:noProof/>
              </w:rPr>
              <w:t>TÍTULOS PRIVADOS</w:t>
            </w:r>
            <w:r w:rsidR="00E97889">
              <w:rPr>
                <w:noProof/>
                <w:webHidden/>
              </w:rPr>
              <w:tab/>
            </w:r>
            <w:r w:rsidR="00E97889">
              <w:rPr>
                <w:noProof/>
                <w:webHidden/>
              </w:rPr>
              <w:fldChar w:fldCharType="begin"/>
            </w:r>
            <w:r w:rsidR="00E97889">
              <w:rPr>
                <w:noProof/>
                <w:webHidden/>
              </w:rPr>
              <w:instrText xml:space="preserve"> PAGEREF _Toc118105164 \h </w:instrText>
            </w:r>
            <w:r w:rsidR="00E97889">
              <w:rPr>
                <w:noProof/>
                <w:webHidden/>
              </w:rPr>
            </w:r>
            <w:r w:rsidR="00E97889">
              <w:rPr>
                <w:noProof/>
                <w:webHidden/>
              </w:rPr>
              <w:fldChar w:fldCharType="separate"/>
            </w:r>
            <w:r w:rsidR="00E97889">
              <w:rPr>
                <w:noProof/>
                <w:webHidden/>
              </w:rPr>
              <w:t>34</w:t>
            </w:r>
            <w:r w:rsidR="00E97889">
              <w:rPr>
                <w:noProof/>
                <w:webHidden/>
              </w:rPr>
              <w:fldChar w:fldCharType="end"/>
            </w:r>
          </w:hyperlink>
        </w:p>
        <w:p w14:paraId="3D80FB60" w14:textId="77777777" w:rsidR="00E97889" w:rsidRDefault="00C716C6">
          <w:pPr>
            <w:pStyle w:val="Sumrio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color w:val="auto"/>
              <w:lang w:eastAsia="pt-BR"/>
            </w:rPr>
          </w:pPr>
          <w:hyperlink w:anchor="_Toc118105165" w:history="1">
            <w:r w:rsidR="00E97889" w:rsidRPr="00D54D9F">
              <w:rPr>
                <w:rStyle w:val="Hyperlink"/>
                <w:noProof/>
              </w:rPr>
              <w:t>14.1.5</w:t>
            </w:r>
            <w:r w:rsidR="00E97889">
              <w:rPr>
                <w:rFonts w:asciiTheme="minorHAnsi" w:eastAsiaTheme="minorEastAsia" w:hAnsiTheme="minorHAnsi"/>
                <w:noProof/>
                <w:color w:val="auto"/>
                <w:lang w:eastAsia="pt-BR"/>
              </w:rPr>
              <w:tab/>
            </w:r>
            <w:r w:rsidR="00E97889" w:rsidRPr="00D54D9F">
              <w:rPr>
                <w:rStyle w:val="Hyperlink"/>
                <w:noProof/>
              </w:rPr>
              <w:t>Tipos de marcação</w:t>
            </w:r>
            <w:r w:rsidR="00E97889">
              <w:rPr>
                <w:noProof/>
                <w:webHidden/>
              </w:rPr>
              <w:tab/>
            </w:r>
            <w:r w:rsidR="00E97889">
              <w:rPr>
                <w:noProof/>
                <w:webHidden/>
              </w:rPr>
              <w:fldChar w:fldCharType="begin"/>
            </w:r>
            <w:r w:rsidR="00E97889">
              <w:rPr>
                <w:noProof/>
                <w:webHidden/>
              </w:rPr>
              <w:instrText xml:space="preserve"> PAGEREF _Toc118105165 \h </w:instrText>
            </w:r>
            <w:r w:rsidR="00E97889">
              <w:rPr>
                <w:noProof/>
                <w:webHidden/>
              </w:rPr>
            </w:r>
            <w:r w:rsidR="00E97889">
              <w:rPr>
                <w:noProof/>
                <w:webHidden/>
              </w:rPr>
              <w:fldChar w:fldCharType="separate"/>
            </w:r>
            <w:r w:rsidR="00E97889">
              <w:rPr>
                <w:noProof/>
                <w:webHidden/>
              </w:rPr>
              <w:t>35</w:t>
            </w:r>
            <w:r w:rsidR="00E97889">
              <w:rPr>
                <w:noProof/>
                <w:webHidden/>
              </w:rPr>
              <w:fldChar w:fldCharType="end"/>
            </w:r>
          </w:hyperlink>
        </w:p>
        <w:p w14:paraId="1838540A" w14:textId="77777777" w:rsidR="00E97889" w:rsidRDefault="00C716C6">
          <w:pPr>
            <w:pStyle w:val="Sumrio1"/>
            <w:tabs>
              <w:tab w:val="left" w:pos="660"/>
              <w:tab w:val="right" w:leader="dot" w:pos="9061"/>
            </w:tabs>
            <w:rPr>
              <w:rFonts w:asciiTheme="minorHAnsi" w:eastAsiaTheme="minorEastAsia" w:hAnsiTheme="minorHAnsi"/>
              <w:noProof/>
              <w:color w:val="auto"/>
              <w:lang w:eastAsia="pt-BR"/>
            </w:rPr>
          </w:pPr>
          <w:hyperlink w:anchor="_Toc118105166" w:history="1">
            <w:r w:rsidR="00E97889" w:rsidRPr="00D54D9F">
              <w:rPr>
                <w:rStyle w:val="Hyperlink"/>
                <w:noProof/>
              </w:rPr>
              <w:t>15</w:t>
            </w:r>
            <w:r w:rsidR="00E97889">
              <w:rPr>
                <w:rFonts w:asciiTheme="minorHAnsi" w:eastAsiaTheme="minorEastAsia" w:hAnsiTheme="minorHAnsi"/>
                <w:noProof/>
                <w:color w:val="auto"/>
                <w:lang w:eastAsia="pt-BR"/>
              </w:rPr>
              <w:tab/>
            </w:r>
            <w:r w:rsidR="00E97889" w:rsidRPr="00D54D9F">
              <w:rPr>
                <w:rStyle w:val="Hyperlink"/>
                <w:noProof/>
              </w:rPr>
              <w:t>FONTES PRIMÁRIAS DE INFORMAÇÕES</w:t>
            </w:r>
            <w:r w:rsidR="00E97889">
              <w:rPr>
                <w:noProof/>
                <w:webHidden/>
              </w:rPr>
              <w:tab/>
            </w:r>
            <w:r w:rsidR="00E97889">
              <w:rPr>
                <w:noProof/>
                <w:webHidden/>
              </w:rPr>
              <w:fldChar w:fldCharType="begin"/>
            </w:r>
            <w:r w:rsidR="00E97889">
              <w:rPr>
                <w:noProof/>
                <w:webHidden/>
              </w:rPr>
              <w:instrText xml:space="preserve"> PAGEREF _Toc118105166 \h </w:instrText>
            </w:r>
            <w:r w:rsidR="00E97889">
              <w:rPr>
                <w:noProof/>
                <w:webHidden/>
              </w:rPr>
            </w:r>
            <w:r w:rsidR="00E97889">
              <w:rPr>
                <w:noProof/>
                <w:webHidden/>
              </w:rPr>
              <w:fldChar w:fldCharType="separate"/>
            </w:r>
            <w:r w:rsidR="00E97889">
              <w:rPr>
                <w:noProof/>
                <w:webHidden/>
              </w:rPr>
              <w:t>35</w:t>
            </w:r>
            <w:r w:rsidR="00E97889">
              <w:rPr>
                <w:noProof/>
                <w:webHidden/>
              </w:rPr>
              <w:fldChar w:fldCharType="end"/>
            </w:r>
          </w:hyperlink>
        </w:p>
        <w:p w14:paraId="43FCC605" w14:textId="77777777" w:rsidR="00E97889" w:rsidRDefault="00C716C6">
          <w:pPr>
            <w:pStyle w:val="Sumrio1"/>
            <w:tabs>
              <w:tab w:val="left" w:pos="660"/>
              <w:tab w:val="right" w:leader="dot" w:pos="9061"/>
            </w:tabs>
            <w:rPr>
              <w:rFonts w:asciiTheme="minorHAnsi" w:eastAsiaTheme="minorEastAsia" w:hAnsiTheme="minorHAnsi"/>
              <w:noProof/>
              <w:color w:val="auto"/>
              <w:lang w:eastAsia="pt-BR"/>
            </w:rPr>
          </w:pPr>
          <w:hyperlink w:anchor="_Toc118105167" w:history="1">
            <w:r w:rsidR="00E97889" w:rsidRPr="00D54D9F">
              <w:rPr>
                <w:rStyle w:val="Hyperlink"/>
                <w:noProof/>
              </w:rPr>
              <w:t>16</w:t>
            </w:r>
            <w:r w:rsidR="00E97889">
              <w:rPr>
                <w:rFonts w:asciiTheme="minorHAnsi" w:eastAsiaTheme="minorEastAsia" w:hAnsiTheme="minorHAnsi"/>
                <w:noProof/>
                <w:color w:val="auto"/>
                <w:lang w:eastAsia="pt-BR"/>
              </w:rPr>
              <w:tab/>
            </w:r>
            <w:r w:rsidR="00E97889" w:rsidRPr="00D54D9F">
              <w:rPr>
                <w:rStyle w:val="Hyperlink"/>
                <w:noProof/>
              </w:rPr>
              <w:t>POLÍTICA DE ACOMPANHAMENTO E AVALIAÇÃO</w:t>
            </w:r>
            <w:r w:rsidR="00E97889">
              <w:rPr>
                <w:noProof/>
                <w:webHidden/>
              </w:rPr>
              <w:tab/>
            </w:r>
            <w:r w:rsidR="00E97889">
              <w:rPr>
                <w:noProof/>
                <w:webHidden/>
              </w:rPr>
              <w:fldChar w:fldCharType="begin"/>
            </w:r>
            <w:r w:rsidR="00E97889">
              <w:rPr>
                <w:noProof/>
                <w:webHidden/>
              </w:rPr>
              <w:instrText xml:space="preserve"> PAGEREF _Toc118105167 \h </w:instrText>
            </w:r>
            <w:r w:rsidR="00E97889">
              <w:rPr>
                <w:noProof/>
                <w:webHidden/>
              </w:rPr>
            </w:r>
            <w:r w:rsidR="00E97889">
              <w:rPr>
                <w:noProof/>
                <w:webHidden/>
              </w:rPr>
              <w:fldChar w:fldCharType="separate"/>
            </w:r>
            <w:r w:rsidR="00E97889">
              <w:rPr>
                <w:noProof/>
                <w:webHidden/>
              </w:rPr>
              <w:t>36</w:t>
            </w:r>
            <w:r w:rsidR="00E97889">
              <w:rPr>
                <w:noProof/>
                <w:webHidden/>
              </w:rPr>
              <w:fldChar w:fldCharType="end"/>
            </w:r>
          </w:hyperlink>
        </w:p>
        <w:p w14:paraId="5345851B" w14:textId="77777777" w:rsidR="00E97889" w:rsidRDefault="00C716C6">
          <w:pPr>
            <w:pStyle w:val="Sumrio1"/>
            <w:tabs>
              <w:tab w:val="left" w:pos="660"/>
              <w:tab w:val="right" w:leader="dot" w:pos="9061"/>
            </w:tabs>
            <w:rPr>
              <w:rFonts w:asciiTheme="minorHAnsi" w:eastAsiaTheme="minorEastAsia" w:hAnsiTheme="minorHAnsi"/>
              <w:noProof/>
              <w:color w:val="auto"/>
              <w:lang w:eastAsia="pt-BR"/>
            </w:rPr>
          </w:pPr>
          <w:hyperlink w:anchor="_Toc118105168" w:history="1">
            <w:r w:rsidR="00E97889" w:rsidRPr="00D54D9F">
              <w:rPr>
                <w:rStyle w:val="Hyperlink"/>
                <w:noProof/>
              </w:rPr>
              <w:t>17</w:t>
            </w:r>
            <w:r w:rsidR="00E97889">
              <w:rPr>
                <w:rFonts w:asciiTheme="minorHAnsi" w:eastAsiaTheme="minorEastAsia" w:hAnsiTheme="minorHAnsi"/>
                <w:noProof/>
                <w:color w:val="auto"/>
                <w:lang w:eastAsia="pt-BR"/>
              </w:rPr>
              <w:tab/>
            </w:r>
            <w:r w:rsidR="00E97889" w:rsidRPr="00D54D9F">
              <w:rPr>
                <w:rStyle w:val="Hyperlink"/>
                <w:noProof/>
              </w:rPr>
              <w:t>PLANO DE CONTINGÊNCIA</w:t>
            </w:r>
            <w:r w:rsidR="00E97889">
              <w:rPr>
                <w:noProof/>
                <w:webHidden/>
              </w:rPr>
              <w:tab/>
            </w:r>
            <w:r w:rsidR="00E97889">
              <w:rPr>
                <w:noProof/>
                <w:webHidden/>
              </w:rPr>
              <w:fldChar w:fldCharType="begin"/>
            </w:r>
            <w:r w:rsidR="00E97889">
              <w:rPr>
                <w:noProof/>
                <w:webHidden/>
              </w:rPr>
              <w:instrText xml:space="preserve"> PAGEREF _Toc118105168 \h </w:instrText>
            </w:r>
            <w:r w:rsidR="00E97889">
              <w:rPr>
                <w:noProof/>
                <w:webHidden/>
              </w:rPr>
            </w:r>
            <w:r w:rsidR="00E97889">
              <w:rPr>
                <w:noProof/>
                <w:webHidden/>
              </w:rPr>
              <w:fldChar w:fldCharType="separate"/>
            </w:r>
            <w:r w:rsidR="00E97889">
              <w:rPr>
                <w:noProof/>
                <w:webHidden/>
              </w:rPr>
              <w:t>37</w:t>
            </w:r>
            <w:r w:rsidR="00E97889">
              <w:rPr>
                <w:noProof/>
                <w:webHidden/>
              </w:rPr>
              <w:fldChar w:fldCharType="end"/>
            </w:r>
          </w:hyperlink>
        </w:p>
        <w:p w14:paraId="2D104E1A" w14:textId="77777777" w:rsidR="00E97889" w:rsidRDefault="00C716C6">
          <w:pPr>
            <w:pStyle w:val="Sumrio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color w:val="auto"/>
              <w:lang w:eastAsia="pt-BR"/>
            </w:rPr>
          </w:pPr>
          <w:hyperlink w:anchor="_Toc118105169" w:history="1">
            <w:r w:rsidR="00E97889" w:rsidRPr="00D54D9F">
              <w:rPr>
                <w:rStyle w:val="Hyperlink"/>
                <w:noProof/>
              </w:rPr>
              <w:t>17.1.1</w:t>
            </w:r>
            <w:r w:rsidR="00E97889">
              <w:rPr>
                <w:rFonts w:asciiTheme="minorHAnsi" w:eastAsiaTheme="minorEastAsia" w:hAnsiTheme="minorHAnsi"/>
                <w:noProof/>
                <w:color w:val="auto"/>
                <w:lang w:eastAsia="pt-BR"/>
              </w:rPr>
              <w:tab/>
            </w:r>
            <w:r w:rsidR="00E97889" w:rsidRPr="00D54D9F">
              <w:rPr>
                <w:rStyle w:val="Hyperlink"/>
                <w:noProof/>
              </w:rPr>
              <w:t>EXPOSIÇÃO A RISCO</w:t>
            </w:r>
            <w:r w:rsidR="00E97889">
              <w:rPr>
                <w:noProof/>
                <w:webHidden/>
              </w:rPr>
              <w:tab/>
            </w:r>
            <w:r w:rsidR="00E97889">
              <w:rPr>
                <w:noProof/>
                <w:webHidden/>
              </w:rPr>
              <w:fldChar w:fldCharType="begin"/>
            </w:r>
            <w:r w:rsidR="00E97889">
              <w:rPr>
                <w:noProof/>
                <w:webHidden/>
              </w:rPr>
              <w:instrText xml:space="preserve"> PAGEREF _Toc118105169 \h </w:instrText>
            </w:r>
            <w:r w:rsidR="00E97889">
              <w:rPr>
                <w:noProof/>
                <w:webHidden/>
              </w:rPr>
            </w:r>
            <w:r w:rsidR="00E97889">
              <w:rPr>
                <w:noProof/>
                <w:webHidden/>
              </w:rPr>
              <w:fldChar w:fldCharType="separate"/>
            </w:r>
            <w:r w:rsidR="00E97889">
              <w:rPr>
                <w:noProof/>
                <w:webHidden/>
              </w:rPr>
              <w:t>37</w:t>
            </w:r>
            <w:r w:rsidR="00E97889">
              <w:rPr>
                <w:noProof/>
                <w:webHidden/>
              </w:rPr>
              <w:fldChar w:fldCharType="end"/>
            </w:r>
          </w:hyperlink>
        </w:p>
        <w:p w14:paraId="6591077F" w14:textId="77777777" w:rsidR="00E97889" w:rsidRDefault="00C716C6">
          <w:pPr>
            <w:pStyle w:val="Sumrio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color w:val="auto"/>
              <w:lang w:eastAsia="pt-BR"/>
            </w:rPr>
          </w:pPr>
          <w:hyperlink w:anchor="_Toc118105170" w:history="1">
            <w:r w:rsidR="00E97889" w:rsidRPr="00D54D9F">
              <w:rPr>
                <w:rStyle w:val="Hyperlink"/>
                <w:noProof/>
              </w:rPr>
              <w:t>17.1.2</w:t>
            </w:r>
            <w:r w:rsidR="00E97889">
              <w:rPr>
                <w:rFonts w:asciiTheme="minorHAnsi" w:eastAsiaTheme="minorEastAsia" w:hAnsiTheme="minorHAnsi"/>
                <w:noProof/>
                <w:color w:val="auto"/>
                <w:lang w:eastAsia="pt-BR"/>
              </w:rPr>
              <w:tab/>
            </w:r>
            <w:r w:rsidR="00E97889" w:rsidRPr="00D54D9F">
              <w:rPr>
                <w:rStyle w:val="Hyperlink"/>
                <w:noProof/>
              </w:rPr>
              <w:t>POTENCIAIS PERDAS DOS RECURSOS</w:t>
            </w:r>
            <w:r w:rsidR="00E97889">
              <w:rPr>
                <w:noProof/>
                <w:webHidden/>
              </w:rPr>
              <w:tab/>
            </w:r>
            <w:r w:rsidR="00E97889">
              <w:rPr>
                <w:noProof/>
                <w:webHidden/>
              </w:rPr>
              <w:fldChar w:fldCharType="begin"/>
            </w:r>
            <w:r w:rsidR="00E97889">
              <w:rPr>
                <w:noProof/>
                <w:webHidden/>
              </w:rPr>
              <w:instrText xml:space="preserve"> PAGEREF _Toc118105170 \h </w:instrText>
            </w:r>
            <w:r w:rsidR="00E97889">
              <w:rPr>
                <w:noProof/>
                <w:webHidden/>
              </w:rPr>
            </w:r>
            <w:r w:rsidR="00E97889">
              <w:rPr>
                <w:noProof/>
                <w:webHidden/>
              </w:rPr>
              <w:fldChar w:fldCharType="separate"/>
            </w:r>
            <w:r w:rsidR="00E97889">
              <w:rPr>
                <w:noProof/>
                <w:webHidden/>
              </w:rPr>
              <w:t>37</w:t>
            </w:r>
            <w:r w:rsidR="00E97889">
              <w:rPr>
                <w:noProof/>
                <w:webHidden/>
              </w:rPr>
              <w:fldChar w:fldCharType="end"/>
            </w:r>
          </w:hyperlink>
        </w:p>
        <w:p w14:paraId="07D97AFE" w14:textId="77777777" w:rsidR="00E97889" w:rsidRDefault="00C716C6">
          <w:pPr>
            <w:pStyle w:val="Sumrio1"/>
            <w:tabs>
              <w:tab w:val="left" w:pos="660"/>
              <w:tab w:val="right" w:leader="dot" w:pos="9061"/>
            </w:tabs>
            <w:rPr>
              <w:rFonts w:asciiTheme="minorHAnsi" w:eastAsiaTheme="minorEastAsia" w:hAnsiTheme="minorHAnsi"/>
              <w:noProof/>
              <w:color w:val="auto"/>
              <w:lang w:eastAsia="pt-BR"/>
            </w:rPr>
          </w:pPr>
          <w:hyperlink w:anchor="_Toc118105171" w:history="1">
            <w:r w:rsidR="00E97889" w:rsidRPr="00D54D9F">
              <w:rPr>
                <w:rStyle w:val="Hyperlink"/>
                <w:noProof/>
              </w:rPr>
              <w:t>18</w:t>
            </w:r>
            <w:r w:rsidR="00E97889">
              <w:rPr>
                <w:rFonts w:asciiTheme="minorHAnsi" w:eastAsiaTheme="minorEastAsia" w:hAnsiTheme="minorHAnsi"/>
                <w:noProof/>
                <w:color w:val="auto"/>
                <w:lang w:eastAsia="pt-BR"/>
              </w:rPr>
              <w:tab/>
            </w:r>
            <w:r w:rsidR="00E97889" w:rsidRPr="00D54D9F">
              <w:rPr>
                <w:rStyle w:val="Hyperlink"/>
                <w:noProof/>
              </w:rPr>
              <w:t>CONTROLES INTERNOS</w:t>
            </w:r>
            <w:r w:rsidR="00E97889">
              <w:rPr>
                <w:noProof/>
                <w:webHidden/>
              </w:rPr>
              <w:tab/>
            </w:r>
            <w:r w:rsidR="00E97889">
              <w:rPr>
                <w:noProof/>
                <w:webHidden/>
              </w:rPr>
              <w:fldChar w:fldCharType="begin"/>
            </w:r>
            <w:r w:rsidR="00E97889">
              <w:rPr>
                <w:noProof/>
                <w:webHidden/>
              </w:rPr>
              <w:instrText xml:space="preserve"> PAGEREF _Toc118105171 \h </w:instrText>
            </w:r>
            <w:r w:rsidR="00E97889">
              <w:rPr>
                <w:noProof/>
                <w:webHidden/>
              </w:rPr>
            </w:r>
            <w:r w:rsidR="00E97889">
              <w:rPr>
                <w:noProof/>
                <w:webHidden/>
              </w:rPr>
              <w:fldChar w:fldCharType="separate"/>
            </w:r>
            <w:r w:rsidR="00E97889">
              <w:rPr>
                <w:noProof/>
                <w:webHidden/>
              </w:rPr>
              <w:t>39</w:t>
            </w:r>
            <w:r w:rsidR="00E97889">
              <w:rPr>
                <w:noProof/>
                <w:webHidden/>
              </w:rPr>
              <w:fldChar w:fldCharType="end"/>
            </w:r>
          </w:hyperlink>
        </w:p>
        <w:p w14:paraId="3D500C4F" w14:textId="77777777" w:rsidR="00E97889" w:rsidRDefault="00C716C6">
          <w:pPr>
            <w:pStyle w:val="Sumrio1"/>
            <w:tabs>
              <w:tab w:val="left" w:pos="660"/>
              <w:tab w:val="right" w:leader="dot" w:pos="9061"/>
            </w:tabs>
            <w:rPr>
              <w:rFonts w:asciiTheme="minorHAnsi" w:eastAsiaTheme="minorEastAsia" w:hAnsiTheme="minorHAnsi"/>
              <w:noProof/>
              <w:color w:val="auto"/>
              <w:lang w:eastAsia="pt-BR"/>
            </w:rPr>
          </w:pPr>
          <w:hyperlink w:anchor="_Toc118105172" w:history="1">
            <w:r w:rsidR="00E97889" w:rsidRPr="00D54D9F">
              <w:rPr>
                <w:rStyle w:val="Hyperlink"/>
                <w:noProof/>
              </w:rPr>
              <w:t>19</w:t>
            </w:r>
            <w:r w:rsidR="00E97889">
              <w:rPr>
                <w:rFonts w:asciiTheme="minorHAnsi" w:eastAsiaTheme="minorEastAsia" w:hAnsiTheme="minorHAnsi"/>
                <w:noProof/>
                <w:color w:val="auto"/>
                <w:lang w:eastAsia="pt-BR"/>
              </w:rPr>
              <w:tab/>
            </w:r>
            <w:r w:rsidR="00E97889" w:rsidRPr="00D54D9F">
              <w:rPr>
                <w:rStyle w:val="Hyperlink"/>
                <w:noProof/>
              </w:rPr>
              <w:t>DISPOSIÇÕES GERAIS</w:t>
            </w:r>
            <w:r w:rsidR="00E97889">
              <w:rPr>
                <w:noProof/>
                <w:webHidden/>
              </w:rPr>
              <w:tab/>
            </w:r>
            <w:r w:rsidR="00E97889">
              <w:rPr>
                <w:noProof/>
                <w:webHidden/>
              </w:rPr>
              <w:fldChar w:fldCharType="begin"/>
            </w:r>
            <w:r w:rsidR="00E97889">
              <w:rPr>
                <w:noProof/>
                <w:webHidden/>
              </w:rPr>
              <w:instrText xml:space="preserve"> PAGEREF _Toc118105172 \h </w:instrText>
            </w:r>
            <w:r w:rsidR="00E97889">
              <w:rPr>
                <w:noProof/>
                <w:webHidden/>
              </w:rPr>
            </w:r>
            <w:r w:rsidR="00E97889">
              <w:rPr>
                <w:noProof/>
                <w:webHidden/>
              </w:rPr>
              <w:fldChar w:fldCharType="separate"/>
            </w:r>
            <w:r w:rsidR="00E97889">
              <w:rPr>
                <w:noProof/>
                <w:webHidden/>
              </w:rPr>
              <w:t>41</w:t>
            </w:r>
            <w:r w:rsidR="00E97889">
              <w:rPr>
                <w:noProof/>
                <w:webHidden/>
              </w:rPr>
              <w:fldChar w:fldCharType="end"/>
            </w:r>
          </w:hyperlink>
        </w:p>
        <w:p w14:paraId="59E1CF7D" w14:textId="10D013B5" w:rsidR="00CC3E23" w:rsidRPr="005B5E5B" w:rsidRDefault="00CC3E23" w:rsidP="005B5E5B">
          <w:pPr>
            <w:spacing w:beforeLines="120" w:before="288" w:after="0" w:line="240" w:lineRule="auto"/>
            <w:rPr>
              <w:bCs/>
              <w:sz w:val="12"/>
              <w:szCs w:val="16"/>
            </w:rPr>
          </w:pPr>
          <w:r w:rsidRPr="005B5E5B">
            <w:rPr>
              <w:bCs/>
              <w:sz w:val="8"/>
              <w:szCs w:val="16"/>
            </w:rPr>
            <w:fldChar w:fldCharType="end"/>
          </w:r>
          <w:r w:rsidR="002F635C" w:rsidRPr="005B5E5B">
            <w:rPr>
              <w:bCs/>
              <w:sz w:val="12"/>
              <w:szCs w:val="16"/>
            </w:rPr>
            <w:br w:type="page"/>
          </w:r>
        </w:p>
      </w:sdtContent>
    </w:sdt>
    <w:p w14:paraId="46E1C46E" w14:textId="77777777" w:rsidR="00CB1E8E" w:rsidRPr="0026139D" w:rsidRDefault="00CB1E8E" w:rsidP="00AE51F2">
      <w:pPr>
        <w:pStyle w:val="Ttulo1"/>
        <w:spacing w:before="360"/>
      </w:pPr>
      <w:bookmarkStart w:id="0" w:name="_Toc435202736"/>
      <w:bookmarkStart w:id="1" w:name="_Toc118105125"/>
      <w:r w:rsidRPr="0026139D">
        <w:lastRenderedPageBreak/>
        <w:t>INTRODUÇÃO</w:t>
      </w:r>
      <w:bookmarkEnd w:id="0"/>
      <w:bookmarkEnd w:id="1"/>
    </w:p>
    <w:p w14:paraId="5E397784" w14:textId="6EE520E1" w:rsidR="006B0FB7" w:rsidRPr="00516AB2" w:rsidRDefault="006B0FB7" w:rsidP="00AE51F2">
      <w:pPr>
        <w:rPr>
          <w:bCs/>
          <w:szCs w:val="20"/>
        </w:rPr>
      </w:pPr>
      <w:r w:rsidRPr="00516AB2">
        <w:rPr>
          <w:bCs/>
          <w:szCs w:val="20"/>
        </w:rPr>
        <w:t xml:space="preserve">Atendendo à Resolução do Conselho Monetário Nacional - CMN nº </w:t>
      </w:r>
      <w:r w:rsidR="00912574">
        <w:rPr>
          <w:bCs/>
          <w:szCs w:val="20"/>
        </w:rPr>
        <w:t>4.963</w:t>
      </w:r>
      <w:r w:rsidRPr="00516AB2">
        <w:rPr>
          <w:bCs/>
          <w:szCs w:val="20"/>
        </w:rPr>
        <w:t>, de 25 de novembro de 20</w:t>
      </w:r>
      <w:r w:rsidR="00912574">
        <w:rPr>
          <w:bCs/>
          <w:szCs w:val="20"/>
        </w:rPr>
        <w:t>21</w:t>
      </w:r>
      <w:r w:rsidRPr="00516AB2">
        <w:rPr>
          <w:bCs/>
          <w:szCs w:val="20"/>
        </w:rPr>
        <w:t xml:space="preserve">, </w:t>
      </w:r>
      <w:r w:rsidR="00435A6C">
        <w:rPr>
          <w:bCs/>
          <w:szCs w:val="20"/>
        </w:rPr>
        <w:t>(</w:t>
      </w:r>
      <w:r w:rsidRPr="00516AB2">
        <w:rPr>
          <w:bCs/>
          <w:szCs w:val="20"/>
        </w:rPr>
        <w:t xml:space="preserve">doravante denominada simplesmente “Resolução CMN nº </w:t>
      </w:r>
      <w:r w:rsidR="00912574">
        <w:rPr>
          <w:bCs/>
          <w:szCs w:val="20"/>
        </w:rPr>
        <w:t>4.963</w:t>
      </w:r>
      <w:r w:rsidRPr="00516AB2">
        <w:rPr>
          <w:bCs/>
          <w:szCs w:val="20"/>
        </w:rPr>
        <w:t>/20</w:t>
      </w:r>
      <w:r w:rsidR="00912574">
        <w:rPr>
          <w:bCs/>
          <w:szCs w:val="20"/>
        </w:rPr>
        <w:t>21</w:t>
      </w:r>
      <w:r w:rsidRPr="00516AB2">
        <w:rPr>
          <w:bCs/>
          <w:szCs w:val="20"/>
        </w:rPr>
        <w:t>”</w:t>
      </w:r>
      <w:r w:rsidR="00435A6C">
        <w:rPr>
          <w:bCs/>
          <w:szCs w:val="20"/>
        </w:rPr>
        <w:t>)</w:t>
      </w:r>
      <w:r w:rsidR="00721099">
        <w:rPr>
          <w:bCs/>
          <w:szCs w:val="20"/>
        </w:rPr>
        <w:t xml:space="preserve"> e a Portaria</w:t>
      </w:r>
      <w:r w:rsidR="00324801">
        <w:rPr>
          <w:bCs/>
          <w:szCs w:val="20"/>
        </w:rPr>
        <w:t xml:space="preserve"> MTP</w:t>
      </w:r>
      <w:r w:rsidR="00721099">
        <w:rPr>
          <w:bCs/>
          <w:szCs w:val="20"/>
        </w:rPr>
        <w:t xml:space="preserve"> nº 1.467</w:t>
      </w:r>
      <w:r w:rsidR="0008449D">
        <w:rPr>
          <w:bCs/>
          <w:szCs w:val="20"/>
        </w:rPr>
        <w:t>, de 2 de junho de 2022</w:t>
      </w:r>
      <w:r w:rsidR="007F52EB">
        <w:rPr>
          <w:bCs/>
          <w:szCs w:val="20"/>
        </w:rPr>
        <w:t xml:space="preserve"> (doravante denominada simplesmente “Portaria </w:t>
      </w:r>
      <w:r w:rsidR="006841CD">
        <w:rPr>
          <w:bCs/>
          <w:szCs w:val="20"/>
        </w:rPr>
        <w:t>nº 1.467/2022</w:t>
      </w:r>
      <w:r w:rsidR="00324801">
        <w:rPr>
          <w:bCs/>
          <w:szCs w:val="20"/>
        </w:rPr>
        <w:t>”</w:t>
      </w:r>
      <w:r w:rsidR="006841CD">
        <w:rPr>
          <w:bCs/>
          <w:szCs w:val="20"/>
        </w:rPr>
        <w:t>)</w:t>
      </w:r>
      <w:r w:rsidRPr="00516AB2">
        <w:rPr>
          <w:bCs/>
          <w:szCs w:val="20"/>
        </w:rPr>
        <w:t xml:space="preserve">, o Comitê de Investimentos </w:t>
      </w:r>
      <w:r w:rsidR="00C22A8E" w:rsidRPr="00516AB2">
        <w:rPr>
          <w:bCs/>
          <w:szCs w:val="20"/>
        </w:rPr>
        <w:t>e a Diretoria Executiva</w:t>
      </w:r>
      <w:r w:rsidRPr="00516AB2">
        <w:rPr>
          <w:bCs/>
          <w:szCs w:val="20"/>
        </w:rPr>
        <w:t xml:space="preserve"> do </w:t>
      </w:r>
      <w:r w:rsidR="006053F5">
        <w:rPr>
          <w:b/>
          <w:bCs/>
          <w:color w:val="000000" w:themeColor="text1"/>
          <w:szCs w:val="20"/>
        </w:rPr>
        <w:t>MUNICÍ</w:t>
      </w:r>
      <w:r w:rsidR="006053F5" w:rsidRPr="006053F5">
        <w:rPr>
          <w:b/>
          <w:bCs/>
          <w:color w:val="000000" w:themeColor="text1"/>
          <w:szCs w:val="20"/>
        </w:rPr>
        <w:t>PIO</w:t>
      </w:r>
      <w:r w:rsidR="00FB3C18" w:rsidRPr="006053F5">
        <w:rPr>
          <w:b/>
          <w:bCs/>
          <w:color w:val="000000" w:themeColor="text1"/>
          <w:szCs w:val="20"/>
        </w:rPr>
        <w:t xml:space="preserve"> DE GUARACI</w:t>
      </w:r>
      <w:r w:rsidRPr="00516AB2">
        <w:rPr>
          <w:bCs/>
          <w:szCs w:val="20"/>
        </w:rPr>
        <w:t xml:space="preserve">, apresenta sua Política de Investimentos para o exercício de </w:t>
      </w:r>
      <w:r w:rsidR="00CB3977">
        <w:rPr>
          <w:bCs/>
          <w:szCs w:val="20"/>
        </w:rPr>
        <w:t>20</w:t>
      </w:r>
      <w:r w:rsidR="007667F7">
        <w:rPr>
          <w:bCs/>
          <w:szCs w:val="20"/>
        </w:rPr>
        <w:t>2</w:t>
      </w:r>
      <w:r w:rsidR="0008449D">
        <w:rPr>
          <w:bCs/>
          <w:szCs w:val="20"/>
        </w:rPr>
        <w:t>3</w:t>
      </w:r>
      <w:r w:rsidRPr="00516AB2">
        <w:rPr>
          <w:bCs/>
          <w:szCs w:val="20"/>
        </w:rPr>
        <w:t xml:space="preserve">, </w:t>
      </w:r>
      <w:r w:rsidR="007667F7">
        <w:rPr>
          <w:bCs/>
          <w:szCs w:val="20"/>
        </w:rPr>
        <w:t xml:space="preserve">devidamente analisada e </w:t>
      </w:r>
      <w:r w:rsidRPr="00516AB2">
        <w:rPr>
          <w:bCs/>
          <w:szCs w:val="20"/>
        </w:rPr>
        <w:t xml:space="preserve">aprovada por seu órgão superior </w:t>
      </w:r>
      <w:r w:rsidR="00BB30F1">
        <w:rPr>
          <w:bCs/>
          <w:szCs w:val="20"/>
        </w:rPr>
        <w:t>de deliberação</w:t>
      </w:r>
      <w:r w:rsidRPr="00516AB2">
        <w:rPr>
          <w:bCs/>
          <w:szCs w:val="20"/>
        </w:rPr>
        <w:t>.</w:t>
      </w:r>
    </w:p>
    <w:p w14:paraId="5DAAEEB3" w14:textId="0FCF3D68" w:rsidR="006B0FB7" w:rsidRPr="00516AB2" w:rsidRDefault="006B0FB7" w:rsidP="00AE51F2">
      <w:pPr>
        <w:rPr>
          <w:bCs/>
          <w:szCs w:val="20"/>
        </w:rPr>
      </w:pPr>
      <w:r w:rsidRPr="00516AB2">
        <w:rPr>
          <w:bCs/>
          <w:szCs w:val="20"/>
        </w:rPr>
        <w:t>A Política de Investimentos representa uma formalidade legal que fundamenta e norteia todos os processos de tomada de decis</w:t>
      </w:r>
      <w:r w:rsidR="00830D46">
        <w:rPr>
          <w:bCs/>
          <w:szCs w:val="20"/>
        </w:rPr>
        <w:t>ão</w:t>
      </w:r>
      <w:r w:rsidRPr="00516AB2">
        <w:rPr>
          <w:bCs/>
          <w:szCs w:val="20"/>
        </w:rPr>
        <w:t xml:space="preserve"> relativo</w:t>
      </w:r>
      <w:r w:rsidR="008D543F">
        <w:rPr>
          <w:bCs/>
          <w:szCs w:val="20"/>
        </w:rPr>
        <w:t xml:space="preserve"> </w:t>
      </w:r>
      <w:r w:rsidR="003B4A68">
        <w:rPr>
          <w:bCs/>
          <w:szCs w:val="20"/>
        </w:rPr>
        <w:t>à</w:t>
      </w:r>
      <w:r w:rsidR="008D543F">
        <w:rPr>
          <w:bCs/>
          <w:szCs w:val="20"/>
        </w:rPr>
        <w:t xml:space="preserve"> aplicação</w:t>
      </w:r>
      <w:r w:rsidR="00B459E0">
        <w:rPr>
          <w:bCs/>
          <w:szCs w:val="20"/>
        </w:rPr>
        <w:t xml:space="preserve"> e gestão </w:t>
      </w:r>
      <w:r w:rsidR="0029598B">
        <w:rPr>
          <w:bCs/>
          <w:szCs w:val="20"/>
        </w:rPr>
        <w:t>do</w:t>
      </w:r>
      <w:r w:rsidR="00B459E0">
        <w:rPr>
          <w:bCs/>
          <w:szCs w:val="20"/>
        </w:rPr>
        <w:t>s</w:t>
      </w:r>
      <w:r w:rsidR="0029598B">
        <w:rPr>
          <w:bCs/>
          <w:szCs w:val="20"/>
        </w:rPr>
        <w:t xml:space="preserve"> </w:t>
      </w:r>
      <w:r w:rsidR="00130C4B">
        <w:rPr>
          <w:bCs/>
          <w:szCs w:val="20"/>
        </w:rPr>
        <w:t xml:space="preserve">recursos dos </w:t>
      </w:r>
      <w:r w:rsidRPr="00516AB2">
        <w:rPr>
          <w:bCs/>
          <w:szCs w:val="20"/>
        </w:rPr>
        <w:t xml:space="preserve">Regimes Próprios de Previdência Social – </w:t>
      </w:r>
      <w:r w:rsidR="00C22A8E" w:rsidRPr="00516AB2">
        <w:rPr>
          <w:bCs/>
          <w:szCs w:val="20"/>
        </w:rPr>
        <w:t>RPPS</w:t>
      </w:r>
      <w:r w:rsidRPr="00516AB2">
        <w:rPr>
          <w:bCs/>
          <w:szCs w:val="20"/>
        </w:rPr>
        <w:t xml:space="preserve">, empregada como </w:t>
      </w:r>
      <w:r w:rsidR="0099023F">
        <w:rPr>
          <w:bCs/>
          <w:szCs w:val="20"/>
        </w:rPr>
        <w:t xml:space="preserve">ferramenta de gestão necessária </w:t>
      </w:r>
      <w:r w:rsidRPr="00516AB2">
        <w:rPr>
          <w:bCs/>
          <w:szCs w:val="20"/>
        </w:rPr>
        <w:t>para garantir</w:t>
      </w:r>
      <w:r w:rsidR="008663F8">
        <w:rPr>
          <w:bCs/>
          <w:szCs w:val="20"/>
        </w:rPr>
        <w:t xml:space="preserve"> o </w:t>
      </w:r>
      <w:r w:rsidRPr="00516AB2">
        <w:rPr>
          <w:bCs/>
          <w:szCs w:val="20"/>
        </w:rPr>
        <w:t>equilíbrio econômico</w:t>
      </w:r>
      <w:r w:rsidR="004A7FC2">
        <w:rPr>
          <w:bCs/>
          <w:szCs w:val="20"/>
        </w:rPr>
        <w:t xml:space="preserve">, </w:t>
      </w:r>
      <w:r w:rsidRPr="00516AB2">
        <w:rPr>
          <w:bCs/>
          <w:szCs w:val="20"/>
        </w:rPr>
        <w:t>financeiro</w:t>
      </w:r>
      <w:r w:rsidR="004A7FC2">
        <w:rPr>
          <w:bCs/>
          <w:szCs w:val="20"/>
        </w:rPr>
        <w:t xml:space="preserve"> e atuarial</w:t>
      </w:r>
      <w:r w:rsidR="004658A6">
        <w:rPr>
          <w:rStyle w:val="Refdenotaderodap"/>
          <w:bCs/>
          <w:szCs w:val="20"/>
        </w:rPr>
        <w:footnoteReference w:id="2"/>
      </w:r>
      <w:r w:rsidRPr="00516AB2">
        <w:rPr>
          <w:bCs/>
          <w:szCs w:val="20"/>
        </w:rPr>
        <w:t>.</w:t>
      </w:r>
    </w:p>
    <w:p w14:paraId="01942A83" w14:textId="0169F494" w:rsidR="002F635C" w:rsidRPr="00516AB2" w:rsidRDefault="006B0FB7" w:rsidP="00AE51F2">
      <w:pPr>
        <w:rPr>
          <w:bCs/>
          <w:szCs w:val="20"/>
        </w:rPr>
      </w:pPr>
      <w:r w:rsidRPr="00516AB2">
        <w:rPr>
          <w:bCs/>
          <w:szCs w:val="20"/>
        </w:rPr>
        <w:t xml:space="preserve">Os fundamentos para a elaboração da </w:t>
      </w:r>
      <w:r w:rsidR="008663F8">
        <w:rPr>
          <w:bCs/>
          <w:szCs w:val="20"/>
        </w:rPr>
        <w:t xml:space="preserve">presente </w:t>
      </w:r>
      <w:r w:rsidRPr="00516AB2">
        <w:rPr>
          <w:bCs/>
          <w:szCs w:val="20"/>
        </w:rPr>
        <w:t xml:space="preserve">Política de Investimentos estão centrados </w:t>
      </w:r>
      <w:r w:rsidR="0093252D">
        <w:rPr>
          <w:bCs/>
          <w:szCs w:val="20"/>
        </w:rPr>
        <w:t>nos</w:t>
      </w:r>
      <w:r w:rsidRPr="00516AB2">
        <w:rPr>
          <w:bCs/>
          <w:szCs w:val="20"/>
        </w:rPr>
        <w:t xml:space="preserve"> critérios</w:t>
      </w:r>
      <w:r w:rsidR="008663F8">
        <w:rPr>
          <w:bCs/>
          <w:szCs w:val="20"/>
        </w:rPr>
        <w:t xml:space="preserve"> legais e</w:t>
      </w:r>
      <w:r w:rsidRPr="00516AB2">
        <w:rPr>
          <w:bCs/>
          <w:szCs w:val="20"/>
        </w:rPr>
        <w:t xml:space="preserve"> técnicos</w:t>
      </w:r>
      <w:r w:rsidR="0093252D">
        <w:rPr>
          <w:bCs/>
          <w:szCs w:val="20"/>
        </w:rPr>
        <w:t>, estes</w:t>
      </w:r>
      <w:r w:rsidRPr="00516AB2">
        <w:rPr>
          <w:bCs/>
          <w:szCs w:val="20"/>
        </w:rPr>
        <w:t xml:space="preserve"> de grande relevância. Ressalta-se que </w:t>
      </w:r>
      <w:r w:rsidR="003F78BC">
        <w:rPr>
          <w:bCs/>
          <w:szCs w:val="20"/>
        </w:rPr>
        <w:t>serão</w:t>
      </w:r>
      <w:r w:rsidRPr="00516AB2">
        <w:rPr>
          <w:bCs/>
          <w:szCs w:val="20"/>
        </w:rPr>
        <w:t xml:space="preserve"> observado</w:t>
      </w:r>
      <w:r w:rsidR="003F78BC">
        <w:rPr>
          <w:bCs/>
          <w:szCs w:val="20"/>
        </w:rPr>
        <w:t>s</w:t>
      </w:r>
      <w:r w:rsidRPr="00516AB2">
        <w:rPr>
          <w:bCs/>
          <w:szCs w:val="20"/>
        </w:rPr>
        <w:t>, para que se trabalhe com parâmetros sólidos</w:t>
      </w:r>
      <w:r w:rsidR="00BC6C2D">
        <w:rPr>
          <w:bCs/>
          <w:szCs w:val="20"/>
        </w:rPr>
        <w:t xml:space="preserve"> quanto a tomada de decisões</w:t>
      </w:r>
      <w:r w:rsidR="005473B7">
        <w:rPr>
          <w:bCs/>
          <w:szCs w:val="20"/>
        </w:rPr>
        <w:t>, a</w:t>
      </w:r>
      <w:r w:rsidRPr="00516AB2">
        <w:rPr>
          <w:bCs/>
          <w:szCs w:val="20"/>
        </w:rPr>
        <w:t xml:space="preserve"> análise do fluxo de caixa atuarial, levando-se em consideração as reservas técnicas atuariais (ativos) e as reservas matemáticas (passivo) projetadas pelo cálculo atuarial.</w:t>
      </w:r>
    </w:p>
    <w:p w14:paraId="2C2FA321" w14:textId="77777777" w:rsidR="002F635C" w:rsidRPr="00516AB2" w:rsidRDefault="002F635C">
      <w:pPr>
        <w:rPr>
          <w:bCs/>
          <w:szCs w:val="20"/>
        </w:rPr>
      </w:pPr>
      <w:r w:rsidRPr="00516AB2">
        <w:rPr>
          <w:bCs/>
          <w:szCs w:val="20"/>
        </w:rPr>
        <w:br w:type="page"/>
      </w:r>
    </w:p>
    <w:p w14:paraId="3A920407" w14:textId="77777777" w:rsidR="006B0FB7" w:rsidRPr="0026139D" w:rsidRDefault="006B0FB7" w:rsidP="00272363">
      <w:pPr>
        <w:pStyle w:val="Ttulo1"/>
        <w:spacing w:before="360"/>
      </w:pPr>
      <w:bookmarkStart w:id="2" w:name="_Toc435202737"/>
      <w:bookmarkStart w:id="3" w:name="_Toc490036539"/>
      <w:bookmarkStart w:id="4" w:name="_Toc118105126"/>
      <w:r w:rsidRPr="0026139D">
        <w:lastRenderedPageBreak/>
        <w:t>OBJETIVO</w:t>
      </w:r>
      <w:bookmarkEnd w:id="2"/>
      <w:bookmarkEnd w:id="3"/>
      <w:bookmarkEnd w:id="4"/>
    </w:p>
    <w:p w14:paraId="0EB15A20" w14:textId="49571F53" w:rsidR="006B0FB7" w:rsidRPr="00516AB2" w:rsidRDefault="006B0FB7" w:rsidP="00AE51F2">
      <w:pPr>
        <w:rPr>
          <w:bCs/>
          <w:szCs w:val="20"/>
        </w:rPr>
      </w:pPr>
      <w:r w:rsidRPr="00516AB2">
        <w:rPr>
          <w:bCs/>
          <w:szCs w:val="20"/>
        </w:rPr>
        <w:t xml:space="preserve">A Política de Investimentos </w:t>
      </w:r>
      <w:r w:rsidR="002A154C" w:rsidRPr="00516AB2">
        <w:rPr>
          <w:bCs/>
          <w:szCs w:val="20"/>
        </w:rPr>
        <w:t xml:space="preserve">do </w:t>
      </w:r>
      <w:r w:rsidR="002A154C" w:rsidRPr="002A154C">
        <w:rPr>
          <w:b/>
          <w:bCs/>
          <w:color w:val="000000" w:themeColor="text1"/>
          <w:szCs w:val="20"/>
        </w:rPr>
        <w:t>MUNICÍPIO</w:t>
      </w:r>
      <w:r w:rsidR="006053F5">
        <w:rPr>
          <w:bCs/>
          <w:color w:val="000000" w:themeColor="text1"/>
          <w:szCs w:val="20"/>
        </w:rPr>
        <w:t xml:space="preserve"> </w:t>
      </w:r>
      <w:r w:rsidR="00FB3C18" w:rsidRPr="006053F5">
        <w:rPr>
          <w:b/>
          <w:bCs/>
          <w:color w:val="000000" w:themeColor="text1"/>
          <w:szCs w:val="20"/>
        </w:rPr>
        <w:t>DE GUARACI</w:t>
      </w:r>
      <w:r w:rsidR="00FB3C18">
        <w:rPr>
          <w:bCs/>
          <w:color w:val="000000" w:themeColor="text1"/>
          <w:szCs w:val="20"/>
        </w:rPr>
        <w:t xml:space="preserve"> </w:t>
      </w:r>
      <w:r w:rsidRPr="00516AB2">
        <w:rPr>
          <w:bCs/>
          <w:szCs w:val="20"/>
        </w:rPr>
        <w:t>tem como objetivo estabelecer as</w:t>
      </w:r>
      <w:r w:rsidR="00F21028">
        <w:rPr>
          <w:bCs/>
          <w:szCs w:val="20"/>
        </w:rPr>
        <w:t xml:space="preserve"> regras, os procedimentos e os controles</w:t>
      </w:r>
      <w:r w:rsidRPr="00516AB2">
        <w:rPr>
          <w:bCs/>
          <w:szCs w:val="20"/>
        </w:rPr>
        <w:t xml:space="preserve"> </w:t>
      </w:r>
      <w:r w:rsidR="00892132" w:rsidRPr="00516AB2">
        <w:rPr>
          <w:bCs/>
          <w:szCs w:val="20"/>
        </w:rPr>
        <w:t>relativ</w:t>
      </w:r>
      <w:r w:rsidR="00892132">
        <w:rPr>
          <w:bCs/>
          <w:szCs w:val="20"/>
        </w:rPr>
        <w:t>o</w:t>
      </w:r>
      <w:r w:rsidR="00892132" w:rsidRPr="00516AB2">
        <w:rPr>
          <w:bCs/>
          <w:szCs w:val="20"/>
        </w:rPr>
        <w:t xml:space="preserve">s às aplicações </w:t>
      </w:r>
      <w:r w:rsidR="00892132">
        <w:rPr>
          <w:bCs/>
          <w:szCs w:val="20"/>
        </w:rPr>
        <w:t xml:space="preserve">e gestão dos </w:t>
      </w:r>
      <w:r w:rsidR="00892132" w:rsidRPr="00516AB2">
        <w:rPr>
          <w:bCs/>
          <w:szCs w:val="20"/>
        </w:rPr>
        <w:t xml:space="preserve">recursos </w:t>
      </w:r>
      <w:r w:rsidRPr="00516AB2">
        <w:rPr>
          <w:bCs/>
          <w:szCs w:val="20"/>
        </w:rPr>
        <w:t xml:space="preserve">garantidores dos pagamentos dos segurados e beneficiários do </w:t>
      </w:r>
      <w:r w:rsidR="00A15A48">
        <w:rPr>
          <w:bCs/>
          <w:szCs w:val="20"/>
        </w:rPr>
        <w:t>Regime</w:t>
      </w:r>
      <w:r w:rsidRPr="00516AB2">
        <w:rPr>
          <w:bCs/>
          <w:szCs w:val="20"/>
        </w:rPr>
        <w:t xml:space="preserve">, visando </w:t>
      </w:r>
      <w:r w:rsidR="00A15A48">
        <w:rPr>
          <w:bCs/>
          <w:szCs w:val="20"/>
        </w:rPr>
        <w:t xml:space="preserve">não somente </w:t>
      </w:r>
      <w:r w:rsidRPr="00516AB2">
        <w:rPr>
          <w:bCs/>
          <w:szCs w:val="20"/>
        </w:rPr>
        <w:t>atingir</w:t>
      </w:r>
      <w:r w:rsidR="002D68D5">
        <w:rPr>
          <w:bCs/>
          <w:szCs w:val="20"/>
        </w:rPr>
        <w:t xml:space="preserve"> </w:t>
      </w:r>
      <w:r w:rsidR="004C2EC8">
        <w:rPr>
          <w:bCs/>
          <w:szCs w:val="20"/>
        </w:rPr>
        <w:t>a meta de rentabilidade</w:t>
      </w:r>
      <w:r w:rsidR="00AB5E04">
        <w:rPr>
          <w:bCs/>
          <w:szCs w:val="20"/>
        </w:rPr>
        <w:t xml:space="preserve"> definida a partir o cálculo </w:t>
      </w:r>
      <w:r w:rsidR="00C41FF5">
        <w:rPr>
          <w:bCs/>
          <w:szCs w:val="20"/>
        </w:rPr>
        <w:t>feit</w:t>
      </w:r>
      <w:r w:rsidR="00DE49AD">
        <w:rPr>
          <w:bCs/>
          <w:szCs w:val="20"/>
        </w:rPr>
        <w:t>o</w:t>
      </w:r>
      <w:r w:rsidR="00C41FF5">
        <w:rPr>
          <w:bCs/>
          <w:szCs w:val="20"/>
        </w:rPr>
        <w:t xml:space="preserve"> na apuração do valor esperado da ren</w:t>
      </w:r>
      <w:r w:rsidR="00FB3C18">
        <w:rPr>
          <w:bCs/>
          <w:szCs w:val="20"/>
        </w:rPr>
        <w:t>tabilidade futura da carteira de</w:t>
      </w:r>
      <w:r w:rsidR="00C41FF5">
        <w:rPr>
          <w:bCs/>
          <w:szCs w:val="20"/>
        </w:rPr>
        <w:t xml:space="preserve"> investimentos</w:t>
      </w:r>
      <w:r w:rsidR="00251077">
        <w:rPr>
          <w:bCs/>
          <w:szCs w:val="20"/>
        </w:rPr>
        <w:t xml:space="preserve">, mas </w:t>
      </w:r>
      <w:r w:rsidR="009912BD">
        <w:rPr>
          <w:bCs/>
          <w:szCs w:val="20"/>
        </w:rPr>
        <w:t xml:space="preserve">também </w:t>
      </w:r>
      <w:r w:rsidRPr="00516AB2">
        <w:rPr>
          <w:bCs/>
          <w:szCs w:val="20"/>
        </w:rPr>
        <w:t>garantir a manutenção do</w:t>
      </w:r>
      <w:r w:rsidR="009912BD">
        <w:rPr>
          <w:bCs/>
          <w:szCs w:val="20"/>
        </w:rPr>
        <w:t xml:space="preserve"> </w:t>
      </w:r>
      <w:r w:rsidRPr="00516AB2">
        <w:rPr>
          <w:bCs/>
          <w:szCs w:val="20"/>
        </w:rPr>
        <w:t>equilíbrio econômico</w:t>
      </w:r>
      <w:r w:rsidR="009F49F5">
        <w:rPr>
          <w:bCs/>
          <w:szCs w:val="20"/>
        </w:rPr>
        <w:t xml:space="preserve">, </w:t>
      </w:r>
      <w:r w:rsidRPr="00516AB2">
        <w:rPr>
          <w:bCs/>
          <w:szCs w:val="20"/>
        </w:rPr>
        <w:t>financeiro e atuarial</w:t>
      </w:r>
      <w:r w:rsidR="003B317A">
        <w:rPr>
          <w:bCs/>
          <w:szCs w:val="20"/>
        </w:rPr>
        <w:t>. T</w:t>
      </w:r>
      <w:r w:rsidRPr="00516AB2">
        <w:rPr>
          <w:bCs/>
          <w:szCs w:val="20"/>
        </w:rPr>
        <w:t>endo sempre presentes os princípios da boa governança, segurança, rentabilidade, solvência, liquidez</w:t>
      </w:r>
      <w:r w:rsidR="00C22A8E" w:rsidRPr="00516AB2">
        <w:rPr>
          <w:bCs/>
          <w:szCs w:val="20"/>
        </w:rPr>
        <w:t>, motivação, adequação à natureza de suas obrigações</w:t>
      </w:r>
      <w:r w:rsidRPr="00516AB2">
        <w:rPr>
          <w:bCs/>
          <w:szCs w:val="20"/>
        </w:rPr>
        <w:t xml:space="preserve"> e transparência.</w:t>
      </w:r>
    </w:p>
    <w:p w14:paraId="44DB23B0" w14:textId="25717B55" w:rsidR="006B0FB7" w:rsidRDefault="00E7502F" w:rsidP="00AE51F2">
      <w:pPr>
        <w:rPr>
          <w:bCs/>
          <w:szCs w:val="20"/>
        </w:rPr>
      </w:pPr>
      <w:r>
        <w:rPr>
          <w:bCs/>
          <w:szCs w:val="20"/>
        </w:rPr>
        <w:t>Complementarmente, a</w:t>
      </w:r>
      <w:r w:rsidR="006B0FB7" w:rsidRPr="00516AB2">
        <w:rPr>
          <w:bCs/>
          <w:szCs w:val="20"/>
        </w:rPr>
        <w:t xml:space="preserve"> Política de Investimentos zela pela </w:t>
      </w:r>
      <w:r w:rsidR="00BF7AD9">
        <w:rPr>
          <w:bCs/>
          <w:szCs w:val="20"/>
        </w:rPr>
        <w:t>diligência</w:t>
      </w:r>
      <w:r w:rsidR="006B0FB7" w:rsidRPr="00516AB2">
        <w:rPr>
          <w:bCs/>
          <w:szCs w:val="20"/>
        </w:rPr>
        <w:t xml:space="preserve"> na condução d</w:t>
      </w:r>
      <w:r w:rsidR="009F49F5">
        <w:rPr>
          <w:bCs/>
          <w:szCs w:val="20"/>
        </w:rPr>
        <w:t xml:space="preserve">os processos internos </w:t>
      </w:r>
      <w:r w:rsidR="006B0FB7" w:rsidRPr="00516AB2">
        <w:rPr>
          <w:bCs/>
          <w:szCs w:val="20"/>
        </w:rPr>
        <w:t>relativ</w:t>
      </w:r>
      <w:r w:rsidR="00BF7AD9">
        <w:rPr>
          <w:bCs/>
          <w:szCs w:val="20"/>
        </w:rPr>
        <w:t>o</w:t>
      </w:r>
      <w:r w:rsidR="006B0FB7" w:rsidRPr="00516AB2">
        <w:rPr>
          <w:bCs/>
          <w:szCs w:val="20"/>
        </w:rPr>
        <w:t xml:space="preserve">s </w:t>
      </w:r>
      <w:r w:rsidR="000951A6">
        <w:rPr>
          <w:bCs/>
          <w:szCs w:val="20"/>
        </w:rPr>
        <w:t>a tomada de decisão quanto as</w:t>
      </w:r>
      <w:r w:rsidR="006B0FB7" w:rsidRPr="00516AB2">
        <w:rPr>
          <w:bCs/>
          <w:szCs w:val="20"/>
        </w:rPr>
        <w:t xml:space="preserve"> aplicações</w:t>
      </w:r>
      <w:r w:rsidR="000951A6">
        <w:rPr>
          <w:bCs/>
          <w:szCs w:val="20"/>
        </w:rPr>
        <w:t xml:space="preserve"> </w:t>
      </w:r>
      <w:r w:rsidR="009F49F5">
        <w:rPr>
          <w:bCs/>
          <w:szCs w:val="20"/>
        </w:rPr>
        <w:t xml:space="preserve">dos </w:t>
      </w:r>
      <w:r w:rsidR="006B0FB7" w:rsidRPr="00516AB2">
        <w:rPr>
          <w:bCs/>
          <w:szCs w:val="20"/>
        </w:rPr>
        <w:t xml:space="preserve">recursos, buscando </w:t>
      </w:r>
      <w:r w:rsidR="003D4647">
        <w:rPr>
          <w:bCs/>
          <w:szCs w:val="20"/>
        </w:rPr>
        <w:t xml:space="preserve">a alocação dos seus recursos </w:t>
      </w:r>
      <w:r w:rsidR="006B0FB7" w:rsidRPr="00516AB2">
        <w:rPr>
          <w:bCs/>
          <w:szCs w:val="20"/>
        </w:rPr>
        <w:t xml:space="preserve">em </w:t>
      </w:r>
      <w:r w:rsidR="003D4647">
        <w:rPr>
          <w:bCs/>
          <w:szCs w:val="20"/>
        </w:rPr>
        <w:t>Instituições Financeiras</w:t>
      </w:r>
      <w:r w:rsidR="006B0FB7" w:rsidRPr="00516AB2">
        <w:rPr>
          <w:bCs/>
          <w:szCs w:val="20"/>
        </w:rPr>
        <w:t xml:space="preserve"> </w:t>
      </w:r>
      <w:r w:rsidR="00B42F50">
        <w:rPr>
          <w:bCs/>
          <w:szCs w:val="20"/>
        </w:rPr>
        <w:t xml:space="preserve">devidamente </w:t>
      </w:r>
      <w:r w:rsidR="00671E7A">
        <w:rPr>
          <w:bCs/>
          <w:szCs w:val="20"/>
        </w:rPr>
        <w:t>c</w:t>
      </w:r>
      <w:r w:rsidR="00B42F50">
        <w:rPr>
          <w:bCs/>
          <w:szCs w:val="20"/>
        </w:rPr>
        <w:t>redenciadas.</w:t>
      </w:r>
    </w:p>
    <w:p w14:paraId="25F4FB45" w14:textId="40245A66" w:rsidR="006B0FB7" w:rsidRPr="00807A85" w:rsidRDefault="006B0FB7" w:rsidP="00AE51F2">
      <w:pPr>
        <w:rPr>
          <w:bCs/>
          <w:szCs w:val="20"/>
        </w:rPr>
      </w:pPr>
      <w:r w:rsidRPr="00516AB2">
        <w:rPr>
          <w:bCs/>
          <w:szCs w:val="20"/>
        </w:rPr>
        <w:t>Para</w:t>
      </w:r>
      <w:r w:rsidR="001C552D">
        <w:rPr>
          <w:bCs/>
          <w:szCs w:val="20"/>
        </w:rPr>
        <w:t xml:space="preserve"> </w:t>
      </w:r>
      <w:r w:rsidR="00D5662F">
        <w:rPr>
          <w:bCs/>
          <w:szCs w:val="20"/>
        </w:rPr>
        <w:t xml:space="preserve">seu </w:t>
      </w:r>
      <w:r w:rsidRPr="00516AB2">
        <w:rPr>
          <w:bCs/>
          <w:szCs w:val="20"/>
        </w:rPr>
        <w:t xml:space="preserve">cumprimento, a </w:t>
      </w:r>
      <w:r w:rsidR="00E451EC">
        <w:rPr>
          <w:bCs/>
          <w:szCs w:val="20"/>
        </w:rPr>
        <w:t>P</w:t>
      </w:r>
      <w:r w:rsidRPr="00516AB2">
        <w:rPr>
          <w:bCs/>
          <w:szCs w:val="20"/>
        </w:rPr>
        <w:t xml:space="preserve">olítica </w:t>
      </w:r>
      <w:r w:rsidR="005B4379">
        <w:rPr>
          <w:bCs/>
          <w:szCs w:val="20"/>
        </w:rPr>
        <w:t xml:space="preserve">de </w:t>
      </w:r>
      <w:r w:rsidR="00E451EC" w:rsidRPr="00807A85">
        <w:rPr>
          <w:bCs/>
          <w:szCs w:val="20"/>
        </w:rPr>
        <w:t>I</w:t>
      </w:r>
      <w:r w:rsidR="005B4379" w:rsidRPr="00807A85">
        <w:rPr>
          <w:bCs/>
          <w:szCs w:val="20"/>
        </w:rPr>
        <w:t xml:space="preserve">nvestimentos </w:t>
      </w:r>
      <w:r w:rsidR="00D567A2">
        <w:rPr>
          <w:bCs/>
          <w:szCs w:val="20"/>
        </w:rPr>
        <w:t>apresenta</w:t>
      </w:r>
      <w:r w:rsidR="00D5662F">
        <w:rPr>
          <w:bCs/>
          <w:szCs w:val="20"/>
        </w:rPr>
        <w:t xml:space="preserve"> os critérios</w:t>
      </w:r>
      <w:r w:rsidR="00D567A2">
        <w:rPr>
          <w:bCs/>
          <w:szCs w:val="20"/>
        </w:rPr>
        <w:t xml:space="preserve"> </w:t>
      </w:r>
      <w:r w:rsidR="005454D6">
        <w:rPr>
          <w:bCs/>
          <w:szCs w:val="20"/>
        </w:rPr>
        <w:t>quanto</w:t>
      </w:r>
      <w:r w:rsidRPr="00807A85">
        <w:rPr>
          <w:bCs/>
          <w:szCs w:val="20"/>
        </w:rPr>
        <w:t xml:space="preserve"> </w:t>
      </w:r>
      <w:r w:rsidR="005454D6">
        <w:rPr>
          <w:bCs/>
          <w:szCs w:val="20"/>
        </w:rPr>
        <w:t>a</w:t>
      </w:r>
      <w:r w:rsidR="005B4379" w:rsidRPr="00807A85">
        <w:rPr>
          <w:bCs/>
          <w:szCs w:val="20"/>
        </w:rPr>
        <w:t xml:space="preserve">o plano de contingência, os parâmetros, as metodologias, os critérios, </w:t>
      </w:r>
      <w:r w:rsidRPr="00807A85">
        <w:rPr>
          <w:bCs/>
          <w:szCs w:val="20"/>
        </w:rPr>
        <w:t>a</w:t>
      </w:r>
      <w:r w:rsidR="005B4379" w:rsidRPr="00807A85">
        <w:rPr>
          <w:bCs/>
          <w:szCs w:val="20"/>
        </w:rPr>
        <w:t>s</w:t>
      </w:r>
      <w:r w:rsidRPr="00807A85">
        <w:rPr>
          <w:bCs/>
          <w:szCs w:val="20"/>
        </w:rPr>
        <w:t xml:space="preserve"> modalidade</w:t>
      </w:r>
      <w:r w:rsidR="005B4379" w:rsidRPr="00807A85">
        <w:rPr>
          <w:bCs/>
          <w:szCs w:val="20"/>
        </w:rPr>
        <w:t>s</w:t>
      </w:r>
      <w:r w:rsidRPr="00807A85">
        <w:rPr>
          <w:bCs/>
          <w:szCs w:val="20"/>
        </w:rPr>
        <w:t xml:space="preserve"> e os limites legais e operacionais, buscando a mais adequada </w:t>
      </w:r>
      <w:r w:rsidR="008F62A7">
        <w:rPr>
          <w:bCs/>
          <w:szCs w:val="20"/>
        </w:rPr>
        <w:t xml:space="preserve">gestão e </w:t>
      </w:r>
      <w:r w:rsidRPr="00807A85">
        <w:rPr>
          <w:bCs/>
          <w:szCs w:val="20"/>
        </w:rPr>
        <w:t>alocação dos</w:t>
      </w:r>
      <w:r w:rsidR="000D3FB8">
        <w:rPr>
          <w:bCs/>
          <w:szCs w:val="20"/>
        </w:rPr>
        <w:t xml:space="preserve"> seus </w:t>
      </w:r>
      <w:r w:rsidR="008F62A7">
        <w:rPr>
          <w:bCs/>
          <w:szCs w:val="20"/>
        </w:rPr>
        <w:t>recursos, visando</w:t>
      </w:r>
      <w:r w:rsidR="003B317A">
        <w:rPr>
          <w:bCs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F62A7">
        <w:rPr>
          <w:bCs/>
          <w:szCs w:val="20"/>
        </w:rPr>
        <w:t xml:space="preserve"> minimamente o atendimento </w:t>
      </w:r>
      <w:r w:rsidRPr="00807A85">
        <w:rPr>
          <w:bCs/>
          <w:szCs w:val="20"/>
        </w:rPr>
        <w:t xml:space="preserve">aos requisitos da Resolução CMN nº </w:t>
      </w:r>
      <w:r w:rsidR="008F62A7">
        <w:rPr>
          <w:bCs/>
          <w:szCs w:val="20"/>
        </w:rPr>
        <w:t>4.963</w:t>
      </w:r>
      <w:r w:rsidR="00ED3205">
        <w:rPr>
          <w:bCs/>
          <w:szCs w:val="20"/>
        </w:rPr>
        <w:t>/2021</w:t>
      </w:r>
      <w:r w:rsidRPr="00807A85">
        <w:rPr>
          <w:bCs/>
          <w:szCs w:val="20"/>
        </w:rPr>
        <w:t>.</w:t>
      </w:r>
    </w:p>
    <w:p w14:paraId="4EE36CD0" w14:textId="77777777" w:rsidR="002F635C" w:rsidRDefault="002F635C">
      <w:pPr>
        <w:rPr>
          <w:bCs/>
          <w:szCs w:val="20"/>
        </w:rPr>
      </w:pPr>
      <w:r w:rsidRPr="00516AB2">
        <w:rPr>
          <w:bCs/>
          <w:szCs w:val="20"/>
        </w:rPr>
        <w:br w:type="page"/>
      </w:r>
    </w:p>
    <w:p w14:paraId="049BE270" w14:textId="1284EF65" w:rsidR="00B80178" w:rsidRPr="006053F5" w:rsidRDefault="006841CD" w:rsidP="00272363">
      <w:pPr>
        <w:pStyle w:val="Ttulo1"/>
        <w:spacing w:before="360"/>
        <w:rPr>
          <w:b/>
        </w:rPr>
      </w:pPr>
      <w:bookmarkStart w:id="5" w:name="_Toc118105127"/>
      <w:r w:rsidRPr="006053F5">
        <w:rPr>
          <w:b/>
        </w:rPr>
        <w:lastRenderedPageBreak/>
        <w:t>CATE</w:t>
      </w:r>
      <w:r w:rsidR="00D879CF" w:rsidRPr="006053F5">
        <w:rPr>
          <w:b/>
        </w:rPr>
        <w:t>GORIZAÇÃO DO RPPS</w:t>
      </w:r>
      <w:bookmarkEnd w:id="5"/>
    </w:p>
    <w:p w14:paraId="6D80A9CF" w14:textId="6AC369D7" w:rsidR="00B706AD" w:rsidRDefault="00FF2886" w:rsidP="00272363">
      <w:r>
        <w:t>Segundo o disposto na Instrução CVM n° 554/2014 e Portaria</w:t>
      </w:r>
      <w:r w:rsidR="00D879CF">
        <w:t xml:space="preserve"> nº </w:t>
      </w:r>
      <w:r w:rsidR="00B22A90">
        <w:t>1.467/2022</w:t>
      </w:r>
      <w:r>
        <w:t xml:space="preserve">, fica definido que os Regimes Próprios de Previdência Social classificados como Investidores Qualificados deverão apresentar </w:t>
      </w:r>
      <w:r w:rsidRPr="00B706AD">
        <w:rPr>
          <w:b/>
          <w:bCs/>
        </w:rPr>
        <w:t>cumulativamente</w:t>
      </w:r>
      <w:r w:rsidR="00B706AD">
        <w:t>:</w:t>
      </w:r>
    </w:p>
    <w:p w14:paraId="7CD06FEC" w14:textId="77777777" w:rsidR="00272363" w:rsidRDefault="00272363" w:rsidP="00272363">
      <w:pPr>
        <w:pStyle w:val="PargrafodaLista"/>
      </w:pPr>
    </w:p>
    <w:p w14:paraId="5B157917" w14:textId="77777777" w:rsidR="00272363" w:rsidRDefault="00FF2886" w:rsidP="00272363">
      <w:pPr>
        <w:pStyle w:val="PargrafodaLista"/>
        <w:numPr>
          <w:ilvl w:val="0"/>
          <w:numId w:val="29"/>
        </w:numPr>
      </w:pPr>
      <w:r>
        <w:t xml:space="preserve">Possua recursos aplicados comprovados por </w:t>
      </w:r>
      <w:r w:rsidR="00B706AD">
        <w:t xml:space="preserve">meio do </w:t>
      </w:r>
      <w:r>
        <w:t>Demonstrativo das Aplicações e Investimentos dos Recursos – DAIR</w:t>
      </w:r>
      <w:r w:rsidR="00B706AD">
        <w:t>,</w:t>
      </w:r>
      <w:r>
        <w:t xml:space="preserve"> o montante </w:t>
      </w:r>
      <w:r w:rsidR="007B66D8">
        <w:t>igual ou superior à</w:t>
      </w:r>
      <w:r>
        <w:t xml:space="preserve"> R$ 10.000.000,00 (dez milhões de reais);</w:t>
      </w:r>
    </w:p>
    <w:p w14:paraId="61D34743" w14:textId="77777777" w:rsidR="00272363" w:rsidRDefault="00272363" w:rsidP="00272363">
      <w:pPr>
        <w:pStyle w:val="PargrafodaLista"/>
      </w:pPr>
    </w:p>
    <w:p w14:paraId="4B0CCDF9" w14:textId="77777777" w:rsidR="00272363" w:rsidRDefault="00272363" w:rsidP="00272363">
      <w:pPr>
        <w:pStyle w:val="PargrafodaLista"/>
      </w:pPr>
    </w:p>
    <w:p w14:paraId="4D8E7001" w14:textId="450697D3" w:rsidR="00FF2886" w:rsidRDefault="00DC4108" w:rsidP="00272363">
      <w:pPr>
        <w:pStyle w:val="PargrafodaLista"/>
        <w:numPr>
          <w:ilvl w:val="0"/>
          <w:numId w:val="29"/>
        </w:numPr>
      </w:pPr>
      <w:r>
        <w:t>T</w:t>
      </w:r>
      <w:r w:rsidRPr="00DC4108">
        <w:t>enha aderido ao Programa de Certificação Institucional Pró-Gestão e obtido a certificação institucional</w:t>
      </w:r>
      <w:r>
        <w:t xml:space="preserve"> em um dos níveis de aderência</w:t>
      </w:r>
      <w:r w:rsidR="00FF2886">
        <w:t>.</w:t>
      </w:r>
    </w:p>
    <w:p w14:paraId="6C15BA96" w14:textId="11FDDBFC" w:rsidR="00FF2886" w:rsidRDefault="00DC4108" w:rsidP="00272363">
      <w:r>
        <w:t xml:space="preserve">Para obter a </w:t>
      </w:r>
      <w:r w:rsidR="00FF2886">
        <w:t xml:space="preserve">classificação </w:t>
      </w:r>
      <w:r>
        <w:t>de</w:t>
      </w:r>
      <w:r w:rsidR="00FF2886">
        <w:t xml:space="preserve"> Investidor Profissional, o R</w:t>
      </w:r>
      <w:r>
        <w:t>egime Próprio de Previdência Social fica</w:t>
      </w:r>
      <w:r w:rsidR="00B8626C">
        <w:t xml:space="preserve"> obrigado a comprovar </w:t>
      </w:r>
      <w:r w:rsidR="00FF2886">
        <w:t xml:space="preserve">as mesmas condições </w:t>
      </w:r>
      <w:r w:rsidR="00FF2886" w:rsidRPr="00B8626C">
        <w:rPr>
          <w:b/>
          <w:bCs/>
        </w:rPr>
        <w:t>cumulativas</w:t>
      </w:r>
      <w:r w:rsidR="00B8626C">
        <w:t xml:space="preserve"> descritas acima</w:t>
      </w:r>
      <w:r w:rsidR="00FF2886">
        <w:t xml:space="preserve">, </w:t>
      </w:r>
      <w:r w:rsidR="00B8626C">
        <w:t>tendo o</w:t>
      </w:r>
      <w:r w:rsidR="00FF2886">
        <w:t xml:space="preserve"> </w:t>
      </w:r>
      <w:r w:rsidR="00B6318E">
        <w:t xml:space="preserve">item “a” a seguinte descrição: “ Possua recursos aplicados comprovados por meio do Demonstrativo das Aplicações e Investimentos dos Recursos – DAIR, o montante igual ou superior à R$ 500.000.000,00 (quinhentos milhões de reais) e </w:t>
      </w:r>
      <w:r w:rsidR="00FF2886">
        <w:t>item “</w:t>
      </w:r>
      <w:r w:rsidR="002437EA">
        <w:t>b</w:t>
      </w:r>
      <w:r w:rsidR="00FF2886">
        <w:t xml:space="preserve">” </w:t>
      </w:r>
      <w:r w:rsidR="00B8626C">
        <w:t>a seguinte descrição</w:t>
      </w:r>
      <w:r w:rsidR="00FF2886">
        <w:t>: “tenha aderido ao Programa de Certificação Institucional Pró-Gestão e obtido a certificação institucional Nível IV de adesão”.</w:t>
      </w:r>
    </w:p>
    <w:p w14:paraId="39C52236" w14:textId="1D70EB44" w:rsidR="00AB125A" w:rsidRDefault="00AB125A" w:rsidP="00272363">
      <w:r>
        <w:t>Caso o RPPS não cumpra os requisitos citados acima, este será classificado como Investidor Comum.</w:t>
      </w:r>
    </w:p>
    <w:p w14:paraId="7A350CC0" w14:textId="5A6ACEDE" w:rsidR="00B8626C" w:rsidRDefault="00B8626C" w:rsidP="00272363">
      <w:r>
        <w:t xml:space="preserve">Para a identificação </w:t>
      </w:r>
      <w:r w:rsidR="0071019C">
        <w:t>d</w:t>
      </w:r>
      <w:r w:rsidR="00C24F70">
        <w:t xml:space="preserve">a </w:t>
      </w:r>
      <w:r w:rsidR="003B317A">
        <w:t>Categorização do</w:t>
      </w:r>
      <w:r w:rsidR="0071019C">
        <w:t xml:space="preserve"> </w:t>
      </w:r>
      <w:r w:rsidR="00FB3C18">
        <w:rPr>
          <w:bCs/>
          <w:color w:val="000000" w:themeColor="text1"/>
          <w:szCs w:val="20"/>
        </w:rPr>
        <w:t>RPPS -</w:t>
      </w:r>
      <w:r w:rsidR="006053F5" w:rsidRPr="006053F5">
        <w:rPr>
          <w:b/>
          <w:bCs/>
          <w:color w:val="000000" w:themeColor="text1"/>
          <w:szCs w:val="20"/>
        </w:rPr>
        <w:t xml:space="preserve"> </w:t>
      </w:r>
      <w:r w:rsidR="006053F5">
        <w:rPr>
          <w:b/>
          <w:bCs/>
          <w:color w:val="000000" w:themeColor="text1"/>
          <w:szCs w:val="20"/>
        </w:rPr>
        <w:t>MUNICÍ</w:t>
      </w:r>
      <w:r w:rsidR="006053F5" w:rsidRPr="006053F5">
        <w:rPr>
          <w:b/>
          <w:bCs/>
          <w:color w:val="000000" w:themeColor="text1"/>
          <w:szCs w:val="20"/>
        </w:rPr>
        <w:t>PIO</w:t>
      </w:r>
      <w:r w:rsidR="00FB3C18" w:rsidRPr="006053F5">
        <w:rPr>
          <w:b/>
          <w:bCs/>
          <w:color w:val="000000" w:themeColor="text1"/>
          <w:szCs w:val="20"/>
        </w:rPr>
        <w:t xml:space="preserve"> DE GUARACI</w:t>
      </w:r>
      <w:r w:rsidR="00FB3C18">
        <w:rPr>
          <w:bCs/>
          <w:color w:val="000000" w:themeColor="text1"/>
          <w:szCs w:val="20"/>
        </w:rPr>
        <w:t xml:space="preserve"> </w:t>
      </w:r>
      <w:r w:rsidR="0071019C">
        <w:t>considera</w:t>
      </w:r>
      <w:r w:rsidR="00F07673">
        <w:t>mos as seguintes informações:</w:t>
      </w:r>
    </w:p>
    <w:tbl>
      <w:tblPr>
        <w:tblStyle w:val="TabeladeLista1Clara-nfase31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940C49" w:rsidRPr="00120ED5" w14:paraId="7A531955" w14:textId="77777777" w:rsidTr="00F745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2"/>
            <w:vAlign w:val="center"/>
          </w:tcPr>
          <w:p w14:paraId="6BF392C9" w14:textId="0B7D5E45" w:rsidR="00940C49" w:rsidRPr="00120ED5" w:rsidRDefault="00F07673" w:rsidP="00BF512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ANÁLISE DO </w:t>
            </w:r>
            <w:r w:rsidR="00940C49" w:rsidRPr="00120ED5">
              <w:rPr>
                <w:sz w:val="20"/>
                <w:szCs w:val="20"/>
              </w:rPr>
              <w:t>PERFIL</w:t>
            </w:r>
          </w:p>
        </w:tc>
      </w:tr>
      <w:tr w:rsidR="00940C49" w:rsidRPr="00120ED5" w14:paraId="50DCAA6E" w14:textId="77777777" w:rsidTr="00940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vAlign w:val="center"/>
          </w:tcPr>
          <w:p w14:paraId="3DFFE2EB" w14:textId="77777777" w:rsidR="00940C49" w:rsidRPr="00120ED5" w:rsidRDefault="00940C49" w:rsidP="00940C49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120ED5">
              <w:rPr>
                <w:sz w:val="20"/>
                <w:szCs w:val="20"/>
              </w:rPr>
              <w:t>Patrimônio Líquido sob gestão (R$)</w:t>
            </w:r>
          </w:p>
        </w:tc>
        <w:tc>
          <w:tcPr>
            <w:tcW w:w="4531" w:type="dxa"/>
            <w:vAlign w:val="center"/>
          </w:tcPr>
          <w:p w14:paraId="1CB1176E" w14:textId="73919F48" w:rsidR="00940C49" w:rsidRPr="00F745DF" w:rsidRDefault="00F745DF" w:rsidP="00940C49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(R$) </w:t>
            </w:r>
            <w:r w:rsidRPr="00F745DF">
              <w:rPr>
                <w:b/>
                <w:bCs/>
                <w:color w:val="000000" w:themeColor="text1"/>
                <w:sz w:val="20"/>
                <w:szCs w:val="20"/>
              </w:rPr>
              <w:t>9.800.787,70</w:t>
            </w:r>
          </w:p>
        </w:tc>
      </w:tr>
      <w:tr w:rsidR="00940C49" w:rsidRPr="00120ED5" w14:paraId="4CDCD762" w14:textId="77777777" w:rsidTr="00940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vAlign w:val="center"/>
          </w:tcPr>
          <w:p w14:paraId="79A3BAA9" w14:textId="275545BA" w:rsidR="00940C49" w:rsidRPr="00120ED5" w:rsidRDefault="00940C49" w:rsidP="00940C49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120ED5">
              <w:rPr>
                <w:sz w:val="20"/>
                <w:szCs w:val="20"/>
              </w:rPr>
              <w:t>Nível de Aderência ao Pró-Gestão</w:t>
            </w:r>
          </w:p>
        </w:tc>
        <w:tc>
          <w:tcPr>
            <w:tcW w:w="4531" w:type="dxa"/>
            <w:vAlign w:val="center"/>
          </w:tcPr>
          <w:p w14:paraId="193CCEF9" w14:textId="3DB44414" w:rsidR="00940C49" w:rsidRPr="00120ED5" w:rsidRDefault="00FB3C18" w:rsidP="00940C49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53F5">
              <w:rPr>
                <w:b/>
                <w:bCs/>
                <w:color w:val="000000" w:themeColor="text1"/>
                <w:sz w:val="20"/>
                <w:szCs w:val="20"/>
              </w:rPr>
              <w:t>Não há</w:t>
            </w:r>
          </w:p>
        </w:tc>
      </w:tr>
    </w:tbl>
    <w:p w14:paraId="2FBDE13D" w14:textId="77777777" w:rsidR="00696FC7" w:rsidRDefault="00696FC7" w:rsidP="008B0970">
      <w:bookmarkStart w:id="6" w:name="_GoBack"/>
      <w:bookmarkEnd w:id="6"/>
    </w:p>
    <w:p w14:paraId="5DBFDAE8" w14:textId="6D20B35C" w:rsidR="00FD17BC" w:rsidRPr="00FB3C18" w:rsidRDefault="00FB7BF2" w:rsidP="008B0970">
      <w:pPr>
        <w:rPr>
          <w:color w:val="000000" w:themeColor="text1"/>
        </w:rPr>
      </w:pPr>
      <w:r>
        <w:t xml:space="preserve">O </w:t>
      </w:r>
      <w:r w:rsidR="006053F5">
        <w:rPr>
          <w:b/>
          <w:bCs/>
          <w:color w:val="000000" w:themeColor="text1"/>
          <w:szCs w:val="20"/>
        </w:rPr>
        <w:t>MUNICÍ</w:t>
      </w:r>
      <w:r w:rsidR="006053F5" w:rsidRPr="006053F5">
        <w:rPr>
          <w:b/>
          <w:bCs/>
          <w:color w:val="000000" w:themeColor="text1"/>
          <w:szCs w:val="20"/>
        </w:rPr>
        <w:t>PIO</w:t>
      </w:r>
      <w:r w:rsidR="00FB3C18" w:rsidRPr="00716D43">
        <w:rPr>
          <w:b/>
          <w:bCs/>
          <w:color w:val="000000" w:themeColor="text1"/>
          <w:szCs w:val="20"/>
        </w:rPr>
        <w:t xml:space="preserve"> DE GUARACI</w:t>
      </w:r>
      <w:r>
        <w:t xml:space="preserve">, no momento da elaboração e aprovação </w:t>
      </w:r>
      <w:r w:rsidR="003B317A">
        <w:t>desta Política</w:t>
      </w:r>
      <w:r>
        <w:t xml:space="preserve"> de Investimentos</w:t>
      </w:r>
      <w:r w:rsidR="00705685">
        <w:t xml:space="preserve">, </w:t>
      </w:r>
      <w:r>
        <w:t xml:space="preserve">está classificado como </w:t>
      </w:r>
      <w:r w:rsidR="00FB3C18">
        <w:rPr>
          <w:color w:val="000000" w:themeColor="text1"/>
        </w:rPr>
        <w:t>Investidor Comum.</w:t>
      </w:r>
    </w:p>
    <w:p w14:paraId="60649100" w14:textId="52EA695A" w:rsidR="004E1136" w:rsidRDefault="00B171EC" w:rsidP="008B0970">
      <w:r>
        <w:t xml:space="preserve">Na </w:t>
      </w:r>
      <w:r w:rsidR="004A7DCA">
        <w:t xml:space="preserve">possível </w:t>
      </w:r>
      <w:r>
        <w:t xml:space="preserve">obtenção da Certificação Institucional Pró-Gestão, </w:t>
      </w:r>
      <w:r w:rsidR="00017240">
        <w:t xml:space="preserve">a classificação </w:t>
      </w:r>
      <w:r w:rsidR="005D1E74">
        <w:t xml:space="preserve">de </w:t>
      </w:r>
      <w:r w:rsidR="00017240">
        <w:t>Investidor</w:t>
      </w:r>
      <w:r w:rsidR="005D1E74">
        <w:t xml:space="preserve"> </w:t>
      </w:r>
      <w:r w:rsidR="00017240" w:rsidRPr="00D14797">
        <w:t>mudará automaticamente</w:t>
      </w:r>
      <w:r w:rsidR="00670BEF" w:rsidRPr="00D14797">
        <w:t xml:space="preserve">, </w:t>
      </w:r>
      <w:r w:rsidRPr="00D14797">
        <w:t xml:space="preserve">não </w:t>
      </w:r>
      <w:r w:rsidR="00922139" w:rsidRPr="00D14797">
        <w:t xml:space="preserve">sendo o </w:t>
      </w:r>
      <w:r w:rsidR="006053F5">
        <w:rPr>
          <w:b/>
          <w:bCs/>
          <w:color w:val="000000" w:themeColor="text1"/>
          <w:szCs w:val="20"/>
        </w:rPr>
        <w:t>MUNICÍ</w:t>
      </w:r>
      <w:r w:rsidR="006053F5" w:rsidRPr="006053F5">
        <w:rPr>
          <w:b/>
          <w:bCs/>
          <w:color w:val="000000" w:themeColor="text1"/>
          <w:szCs w:val="20"/>
        </w:rPr>
        <w:t>PIO</w:t>
      </w:r>
      <w:r w:rsidR="00FB3C18" w:rsidRPr="00FB3C18">
        <w:rPr>
          <w:color w:val="000000" w:themeColor="text1"/>
        </w:rPr>
        <w:t xml:space="preserve"> </w:t>
      </w:r>
      <w:r w:rsidR="00FB3C18" w:rsidRPr="006053F5">
        <w:rPr>
          <w:b/>
          <w:color w:val="000000" w:themeColor="text1"/>
        </w:rPr>
        <w:t xml:space="preserve">DE GUARACI </w:t>
      </w:r>
      <w:r w:rsidR="00B72235" w:rsidRPr="00D14797">
        <w:t>prejudicado</w:t>
      </w:r>
      <w:r w:rsidR="00FF1ABC" w:rsidRPr="00D14797">
        <w:t xml:space="preserve"> quanto</w:t>
      </w:r>
      <w:r w:rsidR="00FF1ABC">
        <w:t xml:space="preserve"> </w:t>
      </w:r>
      <w:r w:rsidR="00496D88">
        <w:t>a adaptação d</w:t>
      </w:r>
      <w:r w:rsidR="00FF1ABC">
        <w:t>os processos e procedimentos internos e de controle</w:t>
      </w:r>
      <w:r w:rsidR="004E1136">
        <w:t>.</w:t>
      </w:r>
    </w:p>
    <w:p w14:paraId="7ABDDAA8" w14:textId="4BFE5BA0" w:rsidR="00B171EC" w:rsidRDefault="004E1136" w:rsidP="008B0970">
      <w:r>
        <w:t xml:space="preserve">Fica o </w:t>
      </w:r>
      <w:r w:rsidR="006053F5">
        <w:rPr>
          <w:b/>
          <w:bCs/>
          <w:color w:val="000000" w:themeColor="text1"/>
          <w:szCs w:val="20"/>
        </w:rPr>
        <w:t>MUNICÍ</w:t>
      </w:r>
      <w:r w:rsidR="006053F5" w:rsidRPr="006053F5">
        <w:rPr>
          <w:b/>
          <w:bCs/>
          <w:color w:val="000000" w:themeColor="text1"/>
          <w:szCs w:val="20"/>
        </w:rPr>
        <w:t>PIO</w:t>
      </w:r>
      <w:r w:rsidR="00716D43" w:rsidRPr="00716D43">
        <w:rPr>
          <w:b/>
          <w:color w:val="000000" w:themeColor="text1"/>
        </w:rPr>
        <w:t xml:space="preserve"> DE GUARACI</w:t>
      </w:r>
      <w:r w:rsidR="00716D43" w:rsidRPr="00FB3C18">
        <w:rPr>
          <w:b/>
          <w:color w:val="000000" w:themeColor="text1"/>
        </w:rPr>
        <w:t xml:space="preserve"> </w:t>
      </w:r>
      <w:r w:rsidR="00A1559C">
        <w:t>condicionado a</w:t>
      </w:r>
      <w:r w:rsidR="00922139">
        <w:t xml:space="preserve">o </w:t>
      </w:r>
      <w:r w:rsidR="00B171EC">
        <w:t xml:space="preserve">prazo de </w:t>
      </w:r>
      <w:r w:rsidR="00B171EC" w:rsidRPr="00A73568">
        <w:rPr>
          <w:b/>
          <w:bCs/>
        </w:rPr>
        <w:t>60 (sessenta) dias</w:t>
      </w:r>
      <w:r w:rsidR="00B171EC">
        <w:t xml:space="preserve"> para revisão e adequação d</w:t>
      </w:r>
      <w:r w:rsidR="000A2062">
        <w:t>a</w:t>
      </w:r>
      <w:r w:rsidR="00B171EC">
        <w:t xml:space="preserve"> Política de Investimentos em atendimento</w:t>
      </w:r>
      <w:r w:rsidR="00A1559C">
        <w:t xml:space="preserve"> a nova classificação</w:t>
      </w:r>
      <w:r w:rsidR="00B171EC">
        <w:t>.</w:t>
      </w:r>
    </w:p>
    <w:p w14:paraId="18DB195C" w14:textId="28689B31" w:rsidR="00FD17BC" w:rsidRDefault="00FD17BC" w:rsidP="008B0970">
      <w:r>
        <w:br w:type="page"/>
      </w:r>
    </w:p>
    <w:p w14:paraId="78FF6F21" w14:textId="77777777" w:rsidR="00D94308" w:rsidRPr="0026139D" w:rsidRDefault="00D94308" w:rsidP="008B0970">
      <w:pPr>
        <w:pStyle w:val="Ttulo1"/>
        <w:spacing w:before="360"/>
      </w:pPr>
      <w:bookmarkStart w:id="7" w:name="_Toc435202747"/>
      <w:bookmarkStart w:id="8" w:name="_Toc490036553"/>
      <w:bookmarkStart w:id="9" w:name="_Toc118105128"/>
      <w:bookmarkStart w:id="10" w:name="_Toc435202741"/>
      <w:bookmarkStart w:id="11" w:name="_Toc490036546"/>
      <w:r w:rsidRPr="0026139D">
        <w:lastRenderedPageBreak/>
        <w:t>ESTRUTURA DE GESTÃO</w:t>
      </w:r>
      <w:bookmarkEnd w:id="7"/>
      <w:bookmarkEnd w:id="8"/>
      <w:bookmarkEnd w:id="9"/>
    </w:p>
    <w:p w14:paraId="7A5730A8" w14:textId="1A5B99BC" w:rsidR="00D94308" w:rsidRPr="00C77896" w:rsidRDefault="00D94308" w:rsidP="008B0970">
      <w:pPr>
        <w:rPr>
          <w:bCs/>
          <w:szCs w:val="20"/>
        </w:rPr>
      </w:pPr>
      <w:r w:rsidRPr="00C77896">
        <w:rPr>
          <w:bCs/>
          <w:szCs w:val="20"/>
        </w:rPr>
        <w:t xml:space="preserve">De acordo com as hipóteses previstas na Resolução CMN nº </w:t>
      </w:r>
      <w:r w:rsidR="00D95176">
        <w:rPr>
          <w:bCs/>
          <w:szCs w:val="20"/>
        </w:rPr>
        <w:t>4.963/2021</w:t>
      </w:r>
      <w:r w:rsidR="00DD185E">
        <w:rPr>
          <w:bCs/>
          <w:szCs w:val="20"/>
        </w:rPr>
        <w:t xml:space="preserve"> e </w:t>
      </w:r>
      <w:r w:rsidR="004F7B09">
        <w:rPr>
          <w:bCs/>
          <w:szCs w:val="20"/>
        </w:rPr>
        <w:t>Portaria nº 1.467/2022</w:t>
      </w:r>
      <w:r w:rsidRPr="00C77896">
        <w:rPr>
          <w:bCs/>
          <w:szCs w:val="20"/>
        </w:rPr>
        <w:t xml:space="preserve">, a </w:t>
      </w:r>
      <w:r w:rsidR="00D95176">
        <w:rPr>
          <w:bCs/>
          <w:szCs w:val="20"/>
        </w:rPr>
        <w:t xml:space="preserve">gestão </w:t>
      </w:r>
      <w:r w:rsidR="00850805">
        <w:rPr>
          <w:bCs/>
          <w:szCs w:val="20"/>
        </w:rPr>
        <w:t>das</w:t>
      </w:r>
      <w:r w:rsidR="00D95176">
        <w:rPr>
          <w:bCs/>
          <w:szCs w:val="20"/>
        </w:rPr>
        <w:t xml:space="preserve"> </w:t>
      </w:r>
      <w:r w:rsidRPr="00C77896">
        <w:rPr>
          <w:bCs/>
          <w:szCs w:val="20"/>
        </w:rPr>
        <w:t>aplicaç</w:t>
      </w:r>
      <w:r w:rsidR="00850805">
        <w:rPr>
          <w:bCs/>
          <w:szCs w:val="20"/>
        </w:rPr>
        <w:t>ões</w:t>
      </w:r>
      <w:r w:rsidRPr="00C77896">
        <w:rPr>
          <w:bCs/>
          <w:szCs w:val="20"/>
        </w:rPr>
        <w:t xml:space="preserve"> dos </w:t>
      </w:r>
      <w:r w:rsidR="00D95176">
        <w:rPr>
          <w:bCs/>
          <w:szCs w:val="20"/>
        </w:rPr>
        <w:t>recursos</w:t>
      </w:r>
      <w:r>
        <w:rPr>
          <w:bCs/>
          <w:szCs w:val="20"/>
        </w:rPr>
        <w:t xml:space="preserve"> </w:t>
      </w:r>
      <w:r w:rsidR="00D95176">
        <w:rPr>
          <w:bCs/>
          <w:szCs w:val="20"/>
        </w:rPr>
        <w:t>poderá ser</w:t>
      </w:r>
      <w:r w:rsidRPr="00C77896">
        <w:rPr>
          <w:bCs/>
          <w:szCs w:val="20"/>
        </w:rPr>
        <w:t xml:space="preserve"> realizada por </w:t>
      </w:r>
      <w:r w:rsidR="00D95176">
        <w:rPr>
          <w:bCs/>
          <w:szCs w:val="20"/>
        </w:rPr>
        <w:t xml:space="preserve">meio </w:t>
      </w:r>
      <w:r w:rsidR="008469D6">
        <w:rPr>
          <w:bCs/>
          <w:szCs w:val="20"/>
        </w:rPr>
        <w:t xml:space="preserve">de </w:t>
      </w:r>
      <w:r w:rsidRPr="00C77896">
        <w:rPr>
          <w:bCs/>
          <w:szCs w:val="20"/>
        </w:rPr>
        <w:t>gestão própria, terceirizada ou mista.</w:t>
      </w:r>
    </w:p>
    <w:p w14:paraId="7DF29DFB" w14:textId="4F6A9FCE" w:rsidR="00D94308" w:rsidRDefault="00D94308" w:rsidP="008B0970">
      <w:pPr>
        <w:rPr>
          <w:bCs/>
          <w:szCs w:val="20"/>
        </w:rPr>
      </w:pPr>
      <w:r w:rsidRPr="00C77896">
        <w:rPr>
          <w:bCs/>
          <w:szCs w:val="20"/>
        </w:rPr>
        <w:t xml:space="preserve">Para a </w:t>
      </w:r>
      <w:r w:rsidR="00850805">
        <w:rPr>
          <w:bCs/>
          <w:szCs w:val="20"/>
        </w:rPr>
        <w:t>vigência</w:t>
      </w:r>
      <w:r w:rsidR="00C1506B">
        <w:rPr>
          <w:bCs/>
          <w:szCs w:val="20"/>
        </w:rPr>
        <w:t xml:space="preserve"> </w:t>
      </w:r>
      <w:r w:rsidRPr="00C77896">
        <w:rPr>
          <w:bCs/>
          <w:szCs w:val="20"/>
        </w:rPr>
        <w:t xml:space="preserve">desta Política de Investimentos, a gestão das aplicações dos recursos do </w:t>
      </w:r>
      <w:r w:rsidR="006053F5">
        <w:rPr>
          <w:b/>
          <w:bCs/>
          <w:color w:val="000000" w:themeColor="text1"/>
          <w:szCs w:val="20"/>
        </w:rPr>
        <w:t>MUNICÍ</w:t>
      </w:r>
      <w:r w:rsidR="006053F5" w:rsidRPr="006053F5">
        <w:rPr>
          <w:b/>
          <w:bCs/>
          <w:color w:val="000000" w:themeColor="text1"/>
          <w:szCs w:val="20"/>
        </w:rPr>
        <w:t>PIO</w:t>
      </w:r>
      <w:r w:rsidR="006053F5" w:rsidRPr="00716D43">
        <w:rPr>
          <w:b/>
          <w:color w:val="000000" w:themeColor="text1"/>
        </w:rPr>
        <w:t xml:space="preserve"> </w:t>
      </w:r>
      <w:r w:rsidR="00716D43" w:rsidRPr="00716D43">
        <w:rPr>
          <w:b/>
          <w:color w:val="000000" w:themeColor="text1"/>
        </w:rPr>
        <w:t>DE GUARACI</w:t>
      </w:r>
      <w:r w:rsidRPr="00C77896">
        <w:rPr>
          <w:bCs/>
          <w:szCs w:val="20"/>
        </w:rPr>
        <w:t xml:space="preserve"> será </w:t>
      </w:r>
      <w:r w:rsidRPr="009F4A53">
        <w:rPr>
          <w:b/>
          <w:bCs/>
          <w:szCs w:val="20"/>
        </w:rPr>
        <w:t>própria</w:t>
      </w:r>
      <w:r w:rsidRPr="00C77896">
        <w:rPr>
          <w:bCs/>
          <w:szCs w:val="20"/>
        </w:rPr>
        <w:t>.</w:t>
      </w:r>
    </w:p>
    <w:p w14:paraId="21EE4FD6" w14:textId="0DBA0A25" w:rsidR="00D94308" w:rsidRPr="0026139D" w:rsidRDefault="00D94308" w:rsidP="00276EFD">
      <w:pPr>
        <w:pStyle w:val="Ttulo3"/>
      </w:pPr>
      <w:bookmarkStart w:id="12" w:name="_Toc118105129"/>
      <w:r w:rsidRPr="0026139D">
        <w:t>GESTÃO PRÓPRIA</w:t>
      </w:r>
      <w:bookmarkEnd w:id="12"/>
    </w:p>
    <w:p w14:paraId="4E79998F" w14:textId="0B698F83" w:rsidR="00D94308" w:rsidRDefault="00D94308" w:rsidP="008B0970">
      <w:r>
        <w:t>A adoção deste model</w:t>
      </w:r>
      <w:r w:rsidR="009061DA">
        <w:t xml:space="preserve">o </w:t>
      </w:r>
      <w:r>
        <w:t xml:space="preserve">significa que </w:t>
      </w:r>
      <w:r w:rsidR="00036F1A">
        <w:t>a</w:t>
      </w:r>
      <w:r>
        <w:t xml:space="preserve"> total</w:t>
      </w:r>
      <w:r w:rsidR="00036F1A">
        <w:t>idade</w:t>
      </w:r>
      <w:r>
        <w:t xml:space="preserve"> dos recursos ficará sob a </w:t>
      </w:r>
      <w:r w:rsidR="00036F1A">
        <w:t xml:space="preserve">gestão e </w:t>
      </w:r>
      <w:r>
        <w:t xml:space="preserve">responsabilidade do </w:t>
      </w:r>
      <w:r w:rsidR="006053F5">
        <w:rPr>
          <w:b/>
          <w:bCs/>
          <w:color w:val="000000" w:themeColor="text1"/>
          <w:szCs w:val="20"/>
        </w:rPr>
        <w:t>MUNICÍ</w:t>
      </w:r>
      <w:r w:rsidR="006053F5" w:rsidRPr="006053F5">
        <w:rPr>
          <w:b/>
          <w:bCs/>
          <w:color w:val="000000" w:themeColor="text1"/>
          <w:szCs w:val="20"/>
        </w:rPr>
        <w:t>PIO</w:t>
      </w:r>
      <w:r w:rsidR="006053F5" w:rsidRPr="006053F5">
        <w:rPr>
          <w:b/>
          <w:color w:val="000000" w:themeColor="text1"/>
        </w:rPr>
        <w:t xml:space="preserve"> </w:t>
      </w:r>
      <w:r w:rsidR="00716D43" w:rsidRPr="006053F5">
        <w:rPr>
          <w:b/>
          <w:color w:val="000000" w:themeColor="text1"/>
        </w:rPr>
        <w:t>DE GUARACI</w:t>
      </w:r>
      <w:r w:rsidRPr="006053F5">
        <w:rPr>
          <w:b/>
          <w:color w:val="FF0000"/>
        </w:rPr>
        <w:t xml:space="preserve"> </w:t>
      </w:r>
      <w:r>
        <w:t xml:space="preserve">e </w:t>
      </w:r>
      <w:r w:rsidR="003B7128">
        <w:t>d</w:t>
      </w:r>
      <w:r>
        <w:t xml:space="preserve">os </w:t>
      </w:r>
      <w:r w:rsidR="003E72FF">
        <w:t xml:space="preserve">colaboradores </w:t>
      </w:r>
      <w:r>
        <w:t xml:space="preserve">diretamente </w:t>
      </w:r>
      <w:r w:rsidR="003E72FF">
        <w:t xml:space="preserve">envolvidos </w:t>
      </w:r>
      <w:r>
        <w:t>no processo de</w:t>
      </w:r>
      <w:r w:rsidR="003E72FF">
        <w:t xml:space="preserve"> Gestão dos Recursos ou Investimentos</w:t>
      </w:r>
      <w:r>
        <w:t>.</w:t>
      </w:r>
    </w:p>
    <w:p w14:paraId="5F35C8D3" w14:textId="4E37A9DC" w:rsidR="00D44756" w:rsidRPr="00385785" w:rsidRDefault="00D94308" w:rsidP="008B0970">
      <w:r>
        <w:t>A gestão</w:t>
      </w:r>
      <w:r w:rsidR="003118C2">
        <w:t xml:space="preserve"> das aplicações dos recursos</w:t>
      </w:r>
      <w:r>
        <w:t xml:space="preserve"> contará com profissionais qualificados e certificados por entidade de certificação reconhecida pelo Ministério </w:t>
      </w:r>
      <w:r w:rsidR="00A04694">
        <w:t>do Trabalho e</w:t>
      </w:r>
      <w:r>
        <w:t xml:space="preserve"> Previdência, </w:t>
      </w:r>
      <w:r w:rsidR="00A04694">
        <w:t xml:space="preserve">através da </w:t>
      </w:r>
      <w:r w:rsidR="005B2FC8">
        <w:t xml:space="preserve">Secretária de </w:t>
      </w:r>
      <w:r w:rsidR="005B2FC8" w:rsidRPr="00385785">
        <w:t xml:space="preserve">Previdência Social, </w:t>
      </w:r>
      <w:r w:rsidRPr="00385785">
        <w:t>conforme exig</w:t>
      </w:r>
      <w:r w:rsidR="005B2FC8" w:rsidRPr="00385785">
        <w:t>ido</w:t>
      </w:r>
      <w:r w:rsidRPr="00385785">
        <w:t xml:space="preserve"> </w:t>
      </w:r>
      <w:r w:rsidR="005B2FC8" w:rsidRPr="00385785">
        <w:t>n</w:t>
      </w:r>
      <w:r w:rsidRPr="00385785">
        <w:t>a Portaria</w:t>
      </w:r>
      <w:r w:rsidR="000A4C68">
        <w:t xml:space="preserve"> nº 1.467/2022</w:t>
      </w:r>
      <w:r w:rsidR="00674771" w:rsidRPr="00385785">
        <w:t>.</w:t>
      </w:r>
    </w:p>
    <w:p w14:paraId="6CE19B8E" w14:textId="09301741" w:rsidR="006F1FD2" w:rsidRPr="00385785" w:rsidRDefault="006F1FD2" w:rsidP="008B0970">
      <w:r w:rsidRPr="00385785">
        <w:t xml:space="preserve">Os responsáveis pela gestão </w:t>
      </w:r>
      <w:r w:rsidR="005F0A08">
        <w:t xml:space="preserve">da Unidade Gestora </w:t>
      </w:r>
      <w:r w:rsidRPr="00385785">
        <w:t xml:space="preserve">do </w:t>
      </w:r>
      <w:r w:rsidR="006053F5">
        <w:rPr>
          <w:b/>
          <w:bCs/>
          <w:color w:val="000000" w:themeColor="text1"/>
          <w:szCs w:val="20"/>
        </w:rPr>
        <w:t>MUNICÍ</w:t>
      </w:r>
      <w:r w:rsidR="006053F5" w:rsidRPr="006053F5">
        <w:rPr>
          <w:b/>
          <w:bCs/>
          <w:color w:val="000000" w:themeColor="text1"/>
          <w:szCs w:val="20"/>
        </w:rPr>
        <w:t>PIO</w:t>
      </w:r>
      <w:r w:rsidR="006053F5" w:rsidRPr="00716D43">
        <w:rPr>
          <w:b/>
          <w:color w:val="000000" w:themeColor="text1"/>
        </w:rPr>
        <w:t xml:space="preserve"> </w:t>
      </w:r>
      <w:r w:rsidR="00716D43" w:rsidRPr="00716D43">
        <w:rPr>
          <w:b/>
          <w:color w:val="000000" w:themeColor="text1"/>
        </w:rPr>
        <w:t>DE GUARACI</w:t>
      </w:r>
      <w:r w:rsidR="00716D43">
        <w:rPr>
          <w:b/>
          <w:color w:val="000000" w:themeColor="text1"/>
        </w:rPr>
        <w:t xml:space="preserve">, </w:t>
      </w:r>
      <w:r w:rsidRPr="00385785">
        <w:t xml:space="preserve">têm como uma das principais objetividades a contínua busca pela ciência do conhecimento técnico, exercendo suas atividades com </w:t>
      </w:r>
      <w:r w:rsidRPr="00385785">
        <w:rPr>
          <w:b/>
        </w:rPr>
        <w:t>boa fé, legalidade e diligência; zelando por elevados padrões éticos, adotando as boas práticas de gestão previdenciária no âmbito do Pró-Gestão, que vis</w:t>
      </w:r>
      <w:r w:rsidR="003E5979">
        <w:rPr>
          <w:b/>
        </w:rPr>
        <w:t>a</w:t>
      </w:r>
      <w:r w:rsidR="00727C32">
        <w:rPr>
          <w:b/>
        </w:rPr>
        <w:t>m</w:t>
      </w:r>
      <w:r w:rsidRPr="00385785">
        <w:rPr>
          <w:b/>
        </w:rPr>
        <w:t xml:space="preserve"> garantir o cumprimento de suas obrigações</w:t>
      </w:r>
      <w:r w:rsidRPr="00385785">
        <w:t>.</w:t>
      </w:r>
    </w:p>
    <w:p w14:paraId="26198BB3" w14:textId="186752E5" w:rsidR="006F1FD2" w:rsidRDefault="006F1FD2" w:rsidP="008B0970">
      <w:r w:rsidRPr="00385785">
        <w:t>Entende-se por responsáveis pela gestão d</w:t>
      </w:r>
      <w:r w:rsidR="008F1B68">
        <w:t>as aplicações e</w:t>
      </w:r>
      <w:r w:rsidRPr="00385785">
        <w:t xml:space="preserve"> recursos do </w:t>
      </w:r>
      <w:r w:rsidR="006053F5">
        <w:rPr>
          <w:b/>
          <w:bCs/>
          <w:color w:val="000000" w:themeColor="text1"/>
          <w:szCs w:val="20"/>
        </w:rPr>
        <w:t>MUNICÍ</w:t>
      </w:r>
      <w:r w:rsidR="006053F5" w:rsidRPr="006053F5">
        <w:rPr>
          <w:b/>
          <w:bCs/>
          <w:color w:val="000000" w:themeColor="text1"/>
          <w:szCs w:val="20"/>
        </w:rPr>
        <w:t>PIO</w:t>
      </w:r>
      <w:r w:rsidR="006053F5" w:rsidRPr="00716D43">
        <w:rPr>
          <w:b/>
          <w:color w:val="000000" w:themeColor="text1"/>
        </w:rPr>
        <w:t xml:space="preserve"> </w:t>
      </w:r>
      <w:r w:rsidR="00716D43" w:rsidRPr="00716D43">
        <w:rPr>
          <w:b/>
          <w:color w:val="000000" w:themeColor="text1"/>
        </w:rPr>
        <w:t>DE GUARACI</w:t>
      </w:r>
      <w:r w:rsidRPr="00385785">
        <w:t xml:space="preserve">, as pessoas que participam do processo de análise, </w:t>
      </w:r>
      <w:r w:rsidR="004E0B01">
        <w:t xml:space="preserve">avaliação, gerenciamento, </w:t>
      </w:r>
      <w:r w:rsidRPr="00385785">
        <w:t xml:space="preserve">assessoramento e decisório, bem como os participantes do mercado de título e valores mobiliários no que se refere à distribuição, intermediação e administração </w:t>
      </w:r>
      <w:r w:rsidR="00800820">
        <w:t xml:space="preserve">dos </w:t>
      </w:r>
      <w:r w:rsidR="00515D67">
        <w:t>investimentos</w:t>
      </w:r>
      <w:r w:rsidRPr="00385785">
        <w:t>.</w:t>
      </w:r>
    </w:p>
    <w:p w14:paraId="3D112845" w14:textId="18B3986C" w:rsidR="006F1FD2" w:rsidRPr="003903DA" w:rsidRDefault="006F1FD2" w:rsidP="008B0970">
      <w:r w:rsidRPr="00385785">
        <w:t>A responsabilidade de</w:t>
      </w:r>
      <w:r w:rsidRPr="003903DA">
        <w:t xml:space="preserve"> cada agente envolvido no </w:t>
      </w:r>
      <w:r w:rsidR="00515D67" w:rsidRPr="00385785">
        <w:t xml:space="preserve">processo de análise, </w:t>
      </w:r>
      <w:r w:rsidR="00515D67">
        <w:t xml:space="preserve">avaliação, gerenciamento, </w:t>
      </w:r>
      <w:r w:rsidR="00515D67" w:rsidRPr="00385785">
        <w:t>assessoramento e decisório</w:t>
      </w:r>
      <w:r w:rsidRPr="003903DA">
        <w:t xml:space="preserve"> sobre a</w:t>
      </w:r>
      <w:r w:rsidR="00515D67">
        <w:t xml:space="preserve"> gestão </w:t>
      </w:r>
      <w:r w:rsidR="005B02F9">
        <w:t>das</w:t>
      </w:r>
      <w:r w:rsidRPr="003903DA">
        <w:t xml:space="preserve"> aplicações dos recursos, foram definidos e estão disponíveis</w:t>
      </w:r>
      <w:r w:rsidR="005B02F9">
        <w:t xml:space="preserve"> nas políticas </w:t>
      </w:r>
      <w:r w:rsidR="002A45F5">
        <w:t xml:space="preserve">do </w:t>
      </w:r>
      <w:r w:rsidR="006053F5">
        <w:rPr>
          <w:b/>
          <w:bCs/>
          <w:color w:val="000000" w:themeColor="text1"/>
          <w:szCs w:val="20"/>
        </w:rPr>
        <w:t>MUNICÍ</w:t>
      </w:r>
      <w:r w:rsidR="006053F5" w:rsidRPr="006053F5">
        <w:rPr>
          <w:b/>
          <w:bCs/>
          <w:color w:val="000000" w:themeColor="text1"/>
          <w:szCs w:val="20"/>
        </w:rPr>
        <w:t>PIO</w:t>
      </w:r>
      <w:r w:rsidR="006053F5" w:rsidRPr="00716D43">
        <w:rPr>
          <w:b/>
          <w:color w:val="000000" w:themeColor="text1"/>
        </w:rPr>
        <w:t xml:space="preserve"> </w:t>
      </w:r>
      <w:r w:rsidR="00716D43" w:rsidRPr="00716D43">
        <w:rPr>
          <w:b/>
          <w:color w:val="000000" w:themeColor="text1"/>
        </w:rPr>
        <w:t>DE GUARACI</w:t>
      </w:r>
      <w:r w:rsidRPr="003903DA">
        <w:t>, instituídos como REGRAS, PROCEDIMENTOS E CONTROLES INTERNOS.</w:t>
      </w:r>
    </w:p>
    <w:p w14:paraId="71969004" w14:textId="0DA0FA1B" w:rsidR="003903DA" w:rsidRDefault="00C92354" w:rsidP="008B0970">
      <w:r>
        <w:t xml:space="preserve">Todo o processo de </w:t>
      </w:r>
      <w:r w:rsidR="00E91345">
        <w:t>cumprimento da Política de Investimentos e outras diretrizes legais</w:t>
      </w:r>
      <w:r w:rsidR="00D13B68">
        <w:t xml:space="preserve">, que envolvam </w:t>
      </w:r>
      <w:r w:rsidR="00D751E2">
        <w:t xml:space="preserve">os agentes descriminados acima, terão </w:t>
      </w:r>
      <w:r w:rsidR="003903DA">
        <w:t xml:space="preserve">suas ações deliberadas e fiscalizadas </w:t>
      </w:r>
      <w:r w:rsidR="00CE4793">
        <w:t>pelos</w:t>
      </w:r>
      <w:r w:rsidR="003903DA">
        <w:t xml:space="preserve"> conselhos competentes</w:t>
      </w:r>
      <w:r w:rsidR="00CE4793">
        <w:t xml:space="preserve"> e pelo controle interno</w:t>
      </w:r>
      <w:r w:rsidR="003903DA">
        <w:t>.</w:t>
      </w:r>
    </w:p>
    <w:p w14:paraId="7FEBAE36" w14:textId="69172B11" w:rsidR="00D94308" w:rsidRPr="0026139D" w:rsidRDefault="00D94308" w:rsidP="00276EFD">
      <w:pPr>
        <w:pStyle w:val="Ttulo3"/>
      </w:pPr>
      <w:bookmarkStart w:id="13" w:name="_Toc435189691"/>
      <w:bookmarkStart w:id="14" w:name="_Toc435202749"/>
      <w:bookmarkStart w:id="15" w:name="_Toc490036555"/>
      <w:bookmarkStart w:id="16" w:name="_Toc118105130"/>
      <w:r w:rsidRPr="0026139D">
        <w:t>ÓRGÃOS DE E</w:t>
      </w:r>
      <w:bookmarkEnd w:id="13"/>
      <w:r w:rsidRPr="0026139D">
        <w:t>XECUÇÃO</w:t>
      </w:r>
      <w:bookmarkEnd w:id="14"/>
      <w:bookmarkEnd w:id="15"/>
      <w:bookmarkEnd w:id="16"/>
    </w:p>
    <w:p w14:paraId="730A5B43" w14:textId="20FEC0DE" w:rsidR="00BB57D9" w:rsidRDefault="00BB57D9" w:rsidP="008B0970">
      <w:pPr>
        <w:rPr>
          <w:bCs/>
          <w:szCs w:val="20"/>
        </w:rPr>
      </w:pPr>
      <w:r>
        <w:rPr>
          <w:bCs/>
          <w:szCs w:val="20"/>
        </w:rPr>
        <w:t xml:space="preserve">Os recursos do </w:t>
      </w:r>
      <w:r w:rsidR="006053F5">
        <w:rPr>
          <w:b/>
          <w:bCs/>
          <w:color w:val="000000" w:themeColor="text1"/>
          <w:szCs w:val="20"/>
        </w:rPr>
        <w:t>MUNICÍ</w:t>
      </w:r>
      <w:r w:rsidR="006053F5" w:rsidRPr="006053F5">
        <w:rPr>
          <w:b/>
          <w:bCs/>
          <w:color w:val="000000" w:themeColor="text1"/>
          <w:szCs w:val="20"/>
        </w:rPr>
        <w:t>PIO</w:t>
      </w:r>
      <w:r w:rsidR="006053F5" w:rsidRPr="00716D43">
        <w:rPr>
          <w:b/>
          <w:color w:val="000000" w:themeColor="text1"/>
        </w:rPr>
        <w:t xml:space="preserve"> </w:t>
      </w:r>
      <w:r w:rsidR="00716D43" w:rsidRPr="00716D43">
        <w:rPr>
          <w:b/>
          <w:color w:val="000000" w:themeColor="text1"/>
        </w:rPr>
        <w:t>DE GUARACI</w:t>
      </w:r>
      <w:r w:rsidRPr="00516AB2">
        <w:rPr>
          <w:bCs/>
          <w:szCs w:val="20"/>
        </w:rPr>
        <w:t xml:space="preserve"> </w:t>
      </w:r>
      <w:r>
        <w:rPr>
          <w:bCs/>
          <w:szCs w:val="20"/>
        </w:rPr>
        <w:t>visam à constituição das reservas garantidoras dos benefícios e devem ser mantidos e controlados de forma segregada dos recursos do ente federativo</w:t>
      </w:r>
      <w:r w:rsidR="00E8007F">
        <w:rPr>
          <w:bCs/>
          <w:szCs w:val="20"/>
        </w:rPr>
        <w:t xml:space="preserve">. </w:t>
      </w:r>
      <w:r w:rsidR="00962029">
        <w:rPr>
          <w:bCs/>
          <w:szCs w:val="20"/>
        </w:rPr>
        <w:t>Esses mesmos recursos serão</w:t>
      </w:r>
      <w:r w:rsidR="00DF709F">
        <w:rPr>
          <w:bCs/>
          <w:szCs w:val="20"/>
        </w:rPr>
        <w:t xml:space="preserve"> </w:t>
      </w:r>
      <w:r>
        <w:rPr>
          <w:bCs/>
          <w:szCs w:val="20"/>
        </w:rPr>
        <w:t>geridos em conformidade com esta Política de Investimentos</w:t>
      </w:r>
      <w:r w:rsidR="00DF709F">
        <w:rPr>
          <w:bCs/>
          <w:szCs w:val="20"/>
        </w:rPr>
        <w:t>,</w:t>
      </w:r>
      <w:r w:rsidR="0055796E">
        <w:rPr>
          <w:bCs/>
          <w:szCs w:val="20"/>
        </w:rPr>
        <w:t xml:space="preserve"> </w:t>
      </w:r>
      <w:r>
        <w:rPr>
          <w:bCs/>
          <w:szCs w:val="20"/>
        </w:rPr>
        <w:t>com os critérios para credenciamento das Instituições Financeiras e contratação de prestadores de serviços.</w:t>
      </w:r>
    </w:p>
    <w:p w14:paraId="0F874A87" w14:textId="5BBD36D0" w:rsidR="00D94308" w:rsidRDefault="00D94308" w:rsidP="00716D43">
      <w:pPr>
        <w:rPr>
          <w:bCs/>
          <w:szCs w:val="20"/>
        </w:rPr>
      </w:pPr>
      <w:r w:rsidRPr="00516AB2">
        <w:rPr>
          <w:bCs/>
          <w:szCs w:val="20"/>
        </w:rPr>
        <w:t xml:space="preserve">Compete ao Comitê de Investimentos a </w:t>
      </w:r>
      <w:r>
        <w:rPr>
          <w:bCs/>
          <w:szCs w:val="20"/>
        </w:rPr>
        <w:t>formulação e execução</w:t>
      </w:r>
      <w:r w:rsidRPr="00516AB2">
        <w:rPr>
          <w:bCs/>
          <w:szCs w:val="20"/>
        </w:rPr>
        <w:t xml:space="preserve"> da Política de Investimento</w:t>
      </w:r>
      <w:r>
        <w:rPr>
          <w:bCs/>
          <w:szCs w:val="20"/>
        </w:rPr>
        <w:t xml:space="preserve"> juntamente com a Diretoria Executiva</w:t>
      </w:r>
      <w:r w:rsidR="00C86686">
        <w:rPr>
          <w:bCs/>
          <w:szCs w:val="20"/>
        </w:rPr>
        <w:t xml:space="preserve"> e Gestor dos Recursos</w:t>
      </w:r>
      <w:r w:rsidRPr="00516AB2">
        <w:rPr>
          <w:bCs/>
          <w:szCs w:val="20"/>
        </w:rPr>
        <w:t>, que deve</w:t>
      </w:r>
      <w:r w:rsidR="00C86686">
        <w:rPr>
          <w:bCs/>
          <w:szCs w:val="20"/>
        </w:rPr>
        <w:t>m</w:t>
      </w:r>
      <w:r w:rsidRPr="00516AB2">
        <w:rPr>
          <w:bCs/>
          <w:szCs w:val="20"/>
        </w:rPr>
        <w:t xml:space="preserve"> submetê-la para aprovação </w:t>
      </w:r>
      <w:r>
        <w:rPr>
          <w:bCs/>
          <w:szCs w:val="20"/>
        </w:rPr>
        <w:t>d</w:t>
      </w:r>
      <w:r w:rsidRPr="00516AB2">
        <w:rPr>
          <w:bCs/>
          <w:szCs w:val="20"/>
        </w:rPr>
        <w:t>o Conselho Deliberativo</w:t>
      </w:r>
      <w:r>
        <w:rPr>
          <w:bCs/>
          <w:szCs w:val="20"/>
        </w:rPr>
        <w:t xml:space="preserve"> e fiscalização do Conselho Fiscal, órgãos </w:t>
      </w:r>
      <w:r w:rsidR="00E22CBD">
        <w:rPr>
          <w:bCs/>
          <w:szCs w:val="20"/>
        </w:rPr>
        <w:t>superiores de competência</w:t>
      </w:r>
      <w:r>
        <w:rPr>
          <w:bCs/>
          <w:szCs w:val="20"/>
        </w:rPr>
        <w:t xml:space="preserve"> do</w:t>
      </w:r>
      <w:r w:rsidRPr="00516AB2">
        <w:rPr>
          <w:bCs/>
          <w:szCs w:val="20"/>
        </w:rPr>
        <w:t xml:space="preserve"> </w:t>
      </w:r>
      <w:r w:rsidR="006053F5">
        <w:rPr>
          <w:b/>
          <w:bCs/>
          <w:color w:val="000000" w:themeColor="text1"/>
          <w:szCs w:val="20"/>
        </w:rPr>
        <w:t>MUNICÍ</w:t>
      </w:r>
      <w:r w:rsidR="006053F5" w:rsidRPr="006053F5">
        <w:rPr>
          <w:b/>
          <w:bCs/>
          <w:color w:val="000000" w:themeColor="text1"/>
          <w:szCs w:val="20"/>
        </w:rPr>
        <w:t>PIO</w:t>
      </w:r>
      <w:r w:rsidR="006053F5" w:rsidRPr="00716D43">
        <w:rPr>
          <w:b/>
          <w:color w:val="000000" w:themeColor="text1"/>
        </w:rPr>
        <w:t xml:space="preserve"> </w:t>
      </w:r>
      <w:r w:rsidR="00716D43" w:rsidRPr="00716D43">
        <w:rPr>
          <w:b/>
          <w:color w:val="000000" w:themeColor="text1"/>
        </w:rPr>
        <w:t>DE GUARACI</w:t>
      </w:r>
      <w:r w:rsidR="00716D43">
        <w:rPr>
          <w:b/>
          <w:color w:val="000000" w:themeColor="text1"/>
        </w:rPr>
        <w:t>.</w:t>
      </w:r>
    </w:p>
    <w:p w14:paraId="5442C8BA" w14:textId="3BBDFEBA" w:rsidR="00D94308" w:rsidRDefault="00272055" w:rsidP="008B0970">
      <w:pPr>
        <w:rPr>
          <w:bCs/>
          <w:szCs w:val="20"/>
        </w:rPr>
      </w:pPr>
      <w:r>
        <w:rPr>
          <w:bCs/>
          <w:szCs w:val="20"/>
        </w:rPr>
        <w:lastRenderedPageBreak/>
        <w:t>A</w:t>
      </w:r>
      <w:r w:rsidR="00D94308" w:rsidRPr="00516AB2">
        <w:rPr>
          <w:bCs/>
          <w:szCs w:val="20"/>
        </w:rPr>
        <w:t xml:space="preserve"> estrutura </w:t>
      </w:r>
      <w:r>
        <w:rPr>
          <w:bCs/>
          <w:szCs w:val="20"/>
        </w:rPr>
        <w:t xml:space="preserve">definida através da </w:t>
      </w:r>
      <w:r w:rsidR="00716D43">
        <w:rPr>
          <w:bCs/>
          <w:szCs w:val="20"/>
        </w:rPr>
        <w:t>Lei 1667/2021</w:t>
      </w:r>
      <w:r>
        <w:rPr>
          <w:bCs/>
          <w:szCs w:val="20"/>
        </w:rPr>
        <w:t xml:space="preserve"> </w:t>
      </w:r>
      <w:r w:rsidR="00D94308" w:rsidRPr="00516AB2">
        <w:rPr>
          <w:bCs/>
          <w:szCs w:val="20"/>
        </w:rPr>
        <w:t xml:space="preserve">garante a demonstração da Segregação </w:t>
      </w:r>
      <w:r w:rsidR="00D94308">
        <w:rPr>
          <w:bCs/>
          <w:szCs w:val="20"/>
        </w:rPr>
        <w:t>d</w:t>
      </w:r>
      <w:r w:rsidR="00D94308" w:rsidRPr="00516AB2">
        <w:rPr>
          <w:bCs/>
          <w:szCs w:val="20"/>
        </w:rPr>
        <w:t xml:space="preserve">e </w:t>
      </w:r>
      <w:r w:rsidR="00D94308">
        <w:rPr>
          <w:bCs/>
          <w:szCs w:val="20"/>
        </w:rPr>
        <w:t>Atividades</w:t>
      </w:r>
      <w:r w:rsidR="00D94308" w:rsidRPr="00516AB2">
        <w:rPr>
          <w:bCs/>
          <w:szCs w:val="20"/>
        </w:rPr>
        <w:t xml:space="preserve"> adotadas pelos órgãos de execução, estando em linha com as </w:t>
      </w:r>
      <w:r>
        <w:rPr>
          <w:bCs/>
          <w:szCs w:val="20"/>
        </w:rPr>
        <w:t xml:space="preserve">boas </w:t>
      </w:r>
      <w:r w:rsidR="00D94308" w:rsidRPr="00516AB2">
        <w:rPr>
          <w:bCs/>
          <w:szCs w:val="20"/>
        </w:rPr>
        <w:t xml:space="preserve">práticas </w:t>
      </w:r>
      <w:r>
        <w:rPr>
          <w:bCs/>
          <w:szCs w:val="20"/>
        </w:rPr>
        <w:t xml:space="preserve">de gestão </w:t>
      </w:r>
      <w:r w:rsidR="006C2AD0">
        <w:rPr>
          <w:bCs/>
          <w:szCs w:val="20"/>
        </w:rPr>
        <w:t>e</w:t>
      </w:r>
      <w:r w:rsidR="00D94308" w:rsidRPr="00516AB2">
        <w:rPr>
          <w:bCs/>
          <w:szCs w:val="20"/>
        </w:rPr>
        <w:t xml:space="preserve"> governança </w:t>
      </w:r>
      <w:r w:rsidR="00D94308">
        <w:rPr>
          <w:bCs/>
          <w:szCs w:val="20"/>
        </w:rPr>
        <w:t>previdenciária</w:t>
      </w:r>
      <w:r w:rsidR="00D94308" w:rsidRPr="00516AB2">
        <w:rPr>
          <w:bCs/>
          <w:szCs w:val="20"/>
        </w:rPr>
        <w:t>.</w:t>
      </w:r>
    </w:p>
    <w:p w14:paraId="211B5D71" w14:textId="26C8567D" w:rsidR="00D94308" w:rsidRDefault="00D94308" w:rsidP="008B0970">
      <w:pPr>
        <w:rPr>
          <w:bCs/>
          <w:szCs w:val="20"/>
        </w:rPr>
      </w:pPr>
      <w:r>
        <w:rPr>
          <w:bCs/>
          <w:szCs w:val="20"/>
        </w:rPr>
        <w:t>Em casos de Conflitos de Interesse entre os</w:t>
      </w:r>
      <w:r w:rsidR="001D66B9">
        <w:rPr>
          <w:bCs/>
          <w:szCs w:val="20"/>
        </w:rPr>
        <w:t xml:space="preserve"> </w:t>
      </w:r>
      <w:r>
        <w:rPr>
          <w:bCs/>
          <w:szCs w:val="20"/>
        </w:rPr>
        <w:t>membros</w:t>
      </w:r>
      <w:r w:rsidR="007C53E4">
        <w:rPr>
          <w:bCs/>
          <w:szCs w:val="20"/>
        </w:rPr>
        <w:t xml:space="preserve"> </w:t>
      </w:r>
      <w:r w:rsidR="00890441">
        <w:rPr>
          <w:bCs/>
          <w:szCs w:val="20"/>
        </w:rPr>
        <w:t>integrantes do Comitê de Investimentos, Diretoria Executiva e Conselhos</w:t>
      </w:r>
      <w:r>
        <w:rPr>
          <w:bCs/>
          <w:szCs w:val="20"/>
        </w:rPr>
        <w:t>, a participação do conflitante com</w:t>
      </w:r>
      <w:r w:rsidR="00AB3E80">
        <w:rPr>
          <w:bCs/>
          <w:szCs w:val="20"/>
        </w:rPr>
        <w:t>o</w:t>
      </w:r>
      <w:r>
        <w:rPr>
          <w:bCs/>
          <w:szCs w:val="20"/>
        </w:rPr>
        <w:t xml:space="preserve"> voto de </w:t>
      </w:r>
      <w:r w:rsidR="001D66B9">
        <w:rPr>
          <w:bCs/>
          <w:szCs w:val="20"/>
        </w:rPr>
        <w:t>qualidade</w:t>
      </w:r>
      <w:r>
        <w:rPr>
          <w:bCs/>
          <w:szCs w:val="20"/>
        </w:rPr>
        <w:t xml:space="preserve"> será impedida e/ou anulada</w:t>
      </w:r>
      <w:r w:rsidR="00AB3E80">
        <w:rPr>
          <w:bCs/>
          <w:szCs w:val="20"/>
        </w:rPr>
        <w:t xml:space="preserve">, sendo </w:t>
      </w:r>
      <w:r>
        <w:rPr>
          <w:bCs/>
          <w:szCs w:val="20"/>
        </w:rPr>
        <w:t xml:space="preserve">devidamente </w:t>
      </w:r>
      <w:r w:rsidR="00AB3E80">
        <w:rPr>
          <w:bCs/>
          <w:szCs w:val="20"/>
        </w:rPr>
        <w:t>registrado em</w:t>
      </w:r>
      <w:r>
        <w:rPr>
          <w:bCs/>
          <w:szCs w:val="20"/>
        </w:rPr>
        <w:t xml:space="preserve"> </w:t>
      </w:r>
      <w:r w:rsidR="007C53E4">
        <w:rPr>
          <w:bCs/>
          <w:szCs w:val="20"/>
        </w:rPr>
        <w:t>ata</w:t>
      </w:r>
      <w:r w:rsidR="003500DD">
        <w:rPr>
          <w:bCs/>
          <w:szCs w:val="20"/>
        </w:rPr>
        <w:t xml:space="preserve"> de reunião</w:t>
      </w:r>
      <w:r>
        <w:rPr>
          <w:bCs/>
          <w:szCs w:val="20"/>
        </w:rPr>
        <w:t>.</w:t>
      </w:r>
    </w:p>
    <w:p w14:paraId="31DC71AC" w14:textId="486EF177" w:rsidR="00D94308" w:rsidRDefault="00D94308" w:rsidP="008B0970">
      <w:pPr>
        <w:rPr>
          <w:bCs/>
          <w:szCs w:val="20"/>
        </w:rPr>
      </w:pPr>
      <w:r>
        <w:rPr>
          <w:bCs/>
          <w:szCs w:val="20"/>
        </w:rPr>
        <w:t xml:space="preserve">Não fica excluída a possibilidade da </w:t>
      </w:r>
      <w:r w:rsidR="005B67E6">
        <w:rPr>
          <w:bCs/>
          <w:szCs w:val="20"/>
        </w:rPr>
        <w:t xml:space="preserve">participação de um </w:t>
      </w:r>
      <w:r>
        <w:rPr>
          <w:bCs/>
          <w:szCs w:val="20"/>
        </w:rPr>
        <w:t>Consultor de Valores Mobiliários</w:t>
      </w:r>
      <w:r w:rsidR="00477610">
        <w:rPr>
          <w:bCs/>
          <w:szCs w:val="20"/>
        </w:rPr>
        <w:t xml:space="preserve"> no</w:t>
      </w:r>
      <w:r>
        <w:rPr>
          <w:bCs/>
          <w:szCs w:val="20"/>
        </w:rPr>
        <w:t xml:space="preserve"> forne</w:t>
      </w:r>
      <w:r w:rsidR="00477610">
        <w:rPr>
          <w:bCs/>
          <w:szCs w:val="20"/>
        </w:rPr>
        <w:t>cimento</w:t>
      </w:r>
      <w:r>
        <w:rPr>
          <w:bCs/>
          <w:szCs w:val="20"/>
        </w:rPr>
        <w:t xml:space="preserve"> </w:t>
      </w:r>
      <w:r w:rsidR="00477610">
        <w:rPr>
          <w:bCs/>
          <w:szCs w:val="20"/>
        </w:rPr>
        <w:t xml:space="preserve">de </w:t>
      </w:r>
      <w:r>
        <w:rPr>
          <w:bCs/>
          <w:szCs w:val="20"/>
        </w:rPr>
        <w:t xml:space="preserve">“minuta” </w:t>
      </w:r>
      <w:r w:rsidR="00EF2416">
        <w:rPr>
          <w:bCs/>
          <w:szCs w:val="20"/>
        </w:rPr>
        <w:t xml:space="preserve">para a elaboração </w:t>
      </w:r>
      <w:r>
        <w:rPr>
          <w:bCs/>
          <w:szCs w:val="20"/>
        </w:rPr>
        <w:t>d</w:t>
      </w:r>
      <w:r w:rsidR="00477610">
        <w:rPr>
          <w:bCs/>
          <w:szCs w:val="20"/>
        </w:rPr>
        <w:t>a</w:t>
      </w:r>
      <w:r>
        <w:rPr>
          <w:bCs/>
          <w:szCs w:val="20"/>
        </w:rPr>
        <w:t xml:space="preserve"> Política de Investimentos</w:t>
      </w:r>
      <w:r w:rsidR="00EF2416">
        <w:rPr>
          <w:bCs/>
          <w:szCs w:val="20"/>
        </w:rPr>
        <w:t xml:space="preserve">, bem </w:t>
      </w:r>
      <w:r w:rsidR="00FC4307">
        <w:rPr>
          <w:bCs/>
          <w:szCs w:val="20"/>
        </w:rPr>
        <w:t>como</w:t>
      </w:r>
      <w:r w:rsidR="00477610">
        <w:rPr>
          <w:bCs/>
          <w:szCs w:val="20"/>
        </w:rPr>
        <w:t xml:space="preserve"> propostas de revisão </w:t>
      </w:r>
      <w:r>
        <w:rPr>
          <w:bCs/>
          <w:szCs w:val="20"/>
        </w:rPr>
        <w:t xml:space="preserve">para apreciação do </w:t>
      </w:r>
      <w:r w:rsidR="00477610">
        <w:rPr>
          <w:bCs/>
          <w:szCs w:val="20"/>
        </w:rPr>
        <w:t xml:space="preserve">Gestor dos Recursos, </w:t>
      </w:r>
      <w:r>
        <w:rPr>
          <w:bCs/>
          <w:szCs w:val="20"/>
        </w:rPr>
        <w:t>Comitê de Investimentos e Diretoria Executiva.</w:t>
      </w:r>
    </w:p>
    <w:p w14:paraId="2C4070DC" w14:textId="77777777" w:rsidR="005F2D9B" w:rsidRDefault="005F2D9B" w:rsidP="00276EFD">
      <w:pPr>
        <w:pStyle w:val="Ttulo3"/>
      </w:pPr>
      <w:bookmarkStart w:id="17" w:name="_Toc118105131"/>
      <w:r>
        <w:t>CONSULTORIA DE VALORES MOBILIÁRIOS</w:t>
      </w:r>
      <w:bookmarkEnd w:id="17"/>
    </w:p>
    <w:p w14:paraId="3F36759F" w14:textId="6A386EE8" w:rsidR="005F2D9B" w:rsidRDefault="005F2D9B" w:rsidP="008B0970">
      <w:r>
        <w:t xml:space="preserve">O </w:t>
      </w:r>
      <w:r w:rsidR="006053F5">
        <w:rPr>
          <w:b/>
          <w:bCs/>
          <w:color w:val="000000" w:themeColor="text1"/>
          <w:szCs w:val="20"/>
        </w:rPr>
        <w:t>MUNICÍ</w:t>
      </w:r>
      <w:r w:rsidR="006053F5" w:rsidRPr="006053F5">
        <w:rPr>
          <w:b/>
          <w:bCs/>
          <w:color w:val="000000" w:themeColor="text1"/>
          <w:szCs w:val="20"/>
        </w:rPr>
        <w:t>PIO</w:t>
      </w:r>
      <w:r w:rsidR="006053F5" w:rsidRPr="00716D43">
        <w:rPr>
          <w:b/>
          <w:color w:val="000000" w:themeColor="text1"/>
        </w:rPr>
        <w:t xml:space="preserve"> </w:t>
      </w:r>
      <w:r w:rsidR="00716D43" w:rsidRPr="00716D43">
        <w:rPr>
          <w:b/>
          <w:color w:val="000000" w:themeColor="text1"/>
        </w:rPr>
        <w:t>DE GUARACI</w:t>
      </w:r>
      <w:r>
        <w:t xml:space="preserve"> tem a prerrogativa da contratação de empresa de Consultoria de Valores Mobiliários, de acordo com os critérios estabelecidos na Resolução CMN nº 4.</w:t>
      </w:r>
      <w:r w:rsidR="00094793">
        <w:t>96</w:t>
      </w:r>
      <w:r>
        <w:t xml:space="preserve">3/2021, Portaria n° </w:t>
      </w:r>
      <w:r w:rsidR="00DB26CE">
        <w:t>1.467/2022</w:t>
      </w:r>
      <w:r>
        <w:t xml:space="preserve"> com suas alterações e Resolução CVM nº 19/2021, na prestação dos serviços de </w:t>
      </w:r>
      <w:r w:rsidRPr="00954C44">
        <w:rPr>
          <w:b/>
        </w:rPr>
        <w:t>orientação, recomendação e aconselhamento</w:t>
      </w:r>
      <w:r>
        <w:t xml:space="preserve">, sobre investimentos no mercado de valores mobiliários, cuja adoção é de única e exclusiva responsabilidade do </w:t>
      </w:r>
      <w:r w:rsidR="006053F5">
        <w:rPr>
          <w:b/>
          <w:bCs/>
          <w:color w:val="000000" w:themeColor="text1"/>
          <w:szCs w:val="20"/>
        </w:rPr>
        <w:t>MUNICÍ</w:t>
      </w:r>
      <w:r w:rsidR="006053F5" w:rsidRPr="006053F5">
        <w:rPr>
          <w:b/>
          <w:bCs/>
          <w:color w:val="000000" w:themeColor="text1"/>
          <w:szCs w:val="20"/>
        </w:rPr>
        <w:t>PIO</w:t>
      </w:r>
      <w:r w:rsidR="006053F5" w:rsidRPr="00716D43">
        <w:rPr>
          <w:b/>
          <w:color w:val="000000" w:themeColor="text1"/>
        </w:rPr>
        <w:t xml:space="preserve"> </w:t>
      </w:r>
      <w:r w:rsidR="00716D43" w:rsidRPr="00716D43">
        <w:rPr>
          <w:b/>
          <w:color w:val="000000" w:themeColor="text1"/>
        </w:rPr>
        <w:t>DE GUARACI</w:t>
      </w:r>
      <w:r>
        <w:t>.</w:t>
      </w:r>
    </w:p>
    <w:p w14:paraId="274B3C77" w14:textId="5F2F4010" w:rsidR="005F2D9B" w:rsidRDefault="005F2D9B" w:rsidP="008B0970">
      <w:r>
        <w:t xml:space="preserve">Para a efetiva contratação da empresa </w:t>
      </w:r>
      <w:r w:rsidRPr="00041032">
        <w:t>de Consultoria de Valores Mobiliários</w:t>
      </w:r>
      <w:r>
        <w:t xml:space="preserve">, o </w:t>
      </w:r>
      <w:r w:rsidR="006053F5">
        <w:rPr>
          <w:b/>
          <w:bCs/>
          <w:color w:val="000000" w:themeColor="text1"/>
          <w:szCs w:val="20"/>
        </w:rPr>
        <w:t>MUNICÍ</w:t>
      </w:r>
      <w:r w:rsidR="006053F5" w:rsidRPr="006053F5">
        <w:rPr>
          <w:b/>
          <w:bCs/>
          <w:color w:val="000000" w:themeColor="text1"/>
          <w:szCs w:val="20"/>
        </w:rPr>
        <w:t>PIO</w:t>
      </w:r>
      <w:r w:rsidR="006053F5" w:rsidRPr="00716D43">
        <w:rPr>
          <w:b/>
          <w:color w:val="000000" w:themeColor="text1"/>
        </w:rPr>
        <w:t xml:space="preserve"> </w:t>
      </w:r>
      <w:r w:rsidR="00716D43" w:rsidRPr="00716D43">
        <w:rPr>
          <w:b/>
          <w:color w:val="000000" w:themeColor="text1"/>
        </w:rPr>
        <w:t>DE GUARACI</w:t>
      </w:r>
      <w:r w:rsidR="00716D43">
        <w:t xml:space="preserve"> </w:t>
      </w:r>
      <w:r>
        <w:t>deverá realizar diligência e avaliação quanto ao perfil dos interessados, considerando no mínimo os critérios definidos abaixo:</w:t>
      </w:r>
    </w:p>
    <w:p w14:paraId="6013A260" w14:textId="77777777" w:rsidR="00F5274B" w:rsidRDefault="005F2D9B" w:rsidP="008B0970">
      <w:pPr>
        <w:pStyle w:val="PargrafodaLista"/>
        <w:numPr>
          <w:ilvl w:val="0"/>
          <w:numId w:val="30"/>
        </w:numPr>
      </w:pPr>
      <w:r>
        <w:t>Que a prestação dos serviços de orientação, recomendação e aconselhamento seja de forma profissional, sobre investimentos no mercado de valores mobiliários;</w:t>
      </w:r>
    </w:p>
    <w:p w14:paraId="4B1BBA9A" w14:textId="77777777" w:rsidR="00F5274B" w:rsidRDefault="00F5274B" w:rsidP="00F5274B">
      <w:pPr>
        <w:pStyle w:val="PargrafodaLista"/>
      </w:pPr>
    </w:p>
    <w:p w14:paraId="0178E040" w14:textId="34954432" w:rsidR="00F5274B" w:rsidRDefault="005F2D9B" w:rsidP="008B0970">
      <w:pPr>
        <w:pStyle w:val="PargrafodaLista"/>
        <w:numPr>
          <w:ilvl w:val="0"/>
          <w:numId w:val="30"/>
        </w:numPr>
      </w:pPr>
      <w:r>
        <w:t xml:space="preserve">Que a prestação dos serviços seja independente e individualizada, cuja adoção e implementação das orientações, recomendações e aconselhamentos sejam exclusivas do </w:t>
      </w:r>
      <w:r w:rsidR="006053F5">
        <w:rPr>
          <w:b/>
          <w:bCs/>
          <w:color w:val="000000" w:themeColor="text1"/>
          <w:szCs w:val="20"/>
        </w:rPr>
        <w:t>MUNICÍ</w:t>
      </w:r>
      <w:r w:rsidR="006053F5" w:rsidRPr="006053F5">
        <w:rPr>
          <w:b/>
          <w:bCs/>
          <w:color w:val="000000" w:themeColor="text1"/>
          <w:szCs w:val="20"/>
        </w:rPr>
        <w:t>PIO</w:t>
      </w:r>
      <w:r w:rsidR="006053F5" w:rsidRPr="00716D43">
        <w:rPr>
          <w:b/>
          <w:color w:val="000000" w:themeColor="text1"/>
        </w:rPr>
        <w:t xml:space="preserve"> </w:t>
      </w:r>
      <w:r w:rsidR="00716D43" w:rsidRPr="00716D43">
        <w:rPr>
          <w:b/>
          <w:color w:val="000000" w:themeColor="text1"/>
        </w:rPr>
        <w:t>DE GUARACI</w:t>
      </w:r>
      <w:r>
        <w:t>;</w:t>
      </w:r>
    </w:p>
    <w:p w14:paraId="153FBAEA" w14:textId="77777777" w:rsidR="00F5274B" w:rsidRDefault="00F5274B" w:rsidP="00F5274B">
      <w:pPr>
        <w:pStyle w:val="PargrafodaLista"/>
      </w:pPr>
    </w:p>
    <w:p w14:paraId="2523527D" w14:textId="77777777" w:rsidR="00F5274B" w:rsidRDefault="005F2D9B" w:rsidP="008B0970">
      <w:pPr>
        <w:pStyle w:val="PargrafodaLista"/>
        <w:numPr>
          <w:ilvl w:val="0"/>
          <w:numId w:val="30"/>
        </w:numPr>
      </w:pPr>
      <w:r>
        <w:t xml:space="preserve">Que a prestação de serviços de orientação, recomendação e aconselhamento abranjam </w:t>
      </w:r>
      <w:r w:rsidR="004F058C">
        <w:t xml:space="preserve">no mínimo </w:t>
      </w:r>
      <w:r>
        <w:t>os temas sobre: (i) classes de ativos e valores mobiliários, (</w:t>
      </w:r>
      <w:proofErr w:type="spellStart"/>
      <w:r>
        <w:t>ii</w:t>
      </w:r>
      <w:proofErr w:type="spellEnd"/>
      <w:r>
        <w:t>) títulos e valores mobiliários específicos, (</w:t>
      </w:r>
      <w:proofErr w:type="spellStart"/>
      <w:r>
        <w:t>iii</w:t>
      </w:r>
      <w:proofErr w:type="spellEnd"/>
      <w:r>
        <w:t>) Instituições Financeiras no âmbito do mercado de valores mobiliários e (</w:t>
      </w:r>
      <w:proofErr w:type="spellStart"/>
      <w:r>
        <w:t>iv</w:t>
      </w:r>
      <w:proofErr w:type="spellEnd"/>
      <w:r>
        <w:t xml:space="preserve">) </w:t>
      </w:r>
      <w:r w:rsidRPr="002A72ED">
        <w:t>investimentos no mercado de valores mobiliários</w:t>
      </w:r>
      <w:r>
        <w:t xml:space="preserve"> em todos os aspectos;</w:t>
      </w:r>
    </w:p>
    <w:p w14:paraId="572038E3" w14:textId="77777777" w:rsidR="00F5274B" w:rsidRDefault="00F5274B" w:rsidP="00F5274B">
      <w:pPr>
        <w:pStyle w:val="PargrafodaLista"/>
      </w:pPr>
    </w:p>
    <w:p w14:paraId="3AB23B3C" w14:textId="77777777" w:rsidR="00B62B8E" w:rsidRDefault="00DA7474" w:rsidP="008B0970">
      <w:pPr>
        <w:pStyle w:val="PargrafodaLista"/>
        <w:numPr>
          <w:ilvl w:val="0"/>
          <w:numId w:val="30"/>
        </w:numPr>
      </w:pPr>
      <w:r w:rsidRPr="00DA7474">
        <w:t>As informações di</w:t>
      </w:r>
      <w:r>
        <w:t>sponibilizadas</w:t>
      </w:r>
      <w:r w:rsidRPr="00DA7474">
        <w:t xml:space="preserve"> pelo consultor de valores mobiliários</w:t>
      </w:r>
      <w:r>
        <w:t xml:space="preserve"> sejam </w:t>
      </w:r>
      <w:r w:rsidRPr="00DA7474">
        <w:t>verdadeiras, completas, consistentes e não induzir o investidor a err</w:t>
      </w:r>
      <w:r w:rsidR="0010721D">
        <w:t>o,</w:t>
      </w:r>
      <w:r w:rsidR="0010721D" w:rsidRPr="0010721D">
        <w:t xml:space="preserve"> escritas em linguagem simples, clara, objetiva e concisa</w:t>
      </w:r>
      <w:r w:rsidR="0010721D">
        <w:t>;</w:t>
      </w:r>
    </w:p>
    <w:p w14:paraId="62974476" w14:textId="77777777" w:rsidR="00B62B8E" w:rsidRDefault="00B62B8E" w:rsidP="00B62B8E">
      <w:pPr>
        <w:pStyle w:val="PargrafodaLista"/>
      </w:pPr>
    </w:p>
    <w:p w14:paraId="6F782E08" w14:textId="77777777" w:rsidR="00B62B8E" w:rsidRDefault="005F2D9B" w:rsidP="008B0970">
      <w:pPr>
        <w:pStyle w:val="PargrafodaLista"/>
        <w:numPr>
          <w:ilvl w:val="0"/>
          <w:numId w:val="30"/>
        </w:numPr>
      </w:pPr>
      <w:r>
        <w:t>Que apresente em contrato social um Consultor de Valores Mobiliários como responsável pelas atividades da Consultoria de Valores Mobiliários;</w:t>
      </w:r>
    </w:p>
    <w:p w14:paraId="708ADB2B" w14:textId="77777777" w:rsidR="00B62B8E" w:rsidRDefault="00B62B8E" w:rsidP="00B62B8E">
      <w:pPr>
        <w:pStyle w:val="PargrafodaLista"/>
      </w:pPr>
    </w:p>
    <w:p w14:paraId="347F53F2" w14:textId="77777777" w:rsidR="00B62B8E" w:rsidRDefault="005F2D9B" w:rsidP="008B0970">
      <w:pPr>
        <w:pStyle w:val="PargrafodaLista"/>
        <w:numPr>
          <w:ilvl w:val="0"/>
          <w:numId w:val="30"/>
        </w:numPr>
      </w:pPr>
      <w:r>
        <w:t xml:space="preserve">Que apresente em contrato social um </w:t>
      </w:r>
      <w:proofErr w:type="spellStart"/>
      <w:r>
        <w:t>Compliance</w:t>
      </w:r>
      <w:proofErr w:type="spellEnd"/>
      <w:r>
        <w:t xml:space="preserve"> Officer como responsável pela implementação e cumprimento de regras, procedimentos e controles internos e das normas estabelecidas pela Resolução CVM nº 19/2021;</w:t>
      </w:r>
    </w:p>
    <w:p w14:paraId="13C428F5" w14:textId="77777777" w:rsidR="00B62B8E" w:rsidRDefault="00B62B8E" w:rsidP="00B62B8E">
      <w:pPr>
        <w:pStyle w:val="PargrafodaLista"/>
      </w:pPr>
    </w:p>
    <w:p w14:paraId="33699E45" w14:textId="77777777" w:rsidR="00B62B8E" w:rsidRDefault="004004B8" w:rsidP="008B0970">
      <w:pPr>
        <w:pStyle w:val="PargrafodaLista"/>
        <w:numPr>
          <w:ilvl w:val="0"/>
          <w:numId w:val="30"/>
        </w:numPr>
      </w:pPr>
      <w:r>
        <w:lastRenderedPageBreak/>
        <w:t xml:space="preserve">Que </w:t>
      </w:r>
      <w:r w:rsidR="005B337D">
        <w:t>mantenha página na rede mundial de computadores</w:t>
      </w:r>
      <w:r w:rsidR="00480F27">
        <w:t xml:space="preserve"> na forma de consulta pública</w:t>
      </w:r>
      <w:r w:rsidR="00933227">
        <w:t>,</w:t>
      </w:r>
      <w:r w:rsidR="00480F27">
        <w:t xml:space="preserve"> </w:t>
      </w:r>
      <w:r w:rsidR="005B337D">
        <w:t>as seguintes informações atualizadas:</w:t>
      </w:r>
      <w:r w:rsidR="00933227">
        <w:t xml:space="preserve"> (i) </w:t>
      </w:r>
      <w:r w:rsidR="00933227" w:rsidRPr="00933227">
        <w:t>formulário de referência</w:t>
      </w:r>
      <w:r w:rsidR="00933227">
        <w:t xml:space="preserve">; </w:t>
      </w:r>
      <w:r w:rsidR="006A4859">
        <w:t>(</w:t>
      </w:r>
      <w:proofErr w:type="spellStart"/>
      <w:r w:rsidR="006A4859">
        <w:t>ii</w:t>
      </w:r>
      <w:proofErr w:type="spellEnd"/>
      <w:r w:rsidR="006A4859">
        <w:t xml:space="preserve">) </w:t>
      </w:r>
      <w:r w:rsidR="00933227">
        <w:t xml:space="preserve">código de ética, de modo a concretizar os deveres do consultor de valores mobiliários; </w:t>
      </w:r>
      <w:r w:rsidR="006A4859">
        <w:t>(</w:t>
      </w:r>
      <w:proofErr w:type="spellStart"/>
      <w:r w:rsidR="006A4859">
        <w:t>iii</w:t>
      </w:r>
      <w:proofErr w:type="spellEnd"/>
      <w:r w:rsidR="006A4859">
        <w:t>) a adoção de regras, procedimentos e descrição dos controles internos</w:t>
      </w:r>
      <w:r w:rsidR="00A43C5B">
        <w:t xml:space="preserve"> e</w:t>
      </w:r>
      <w:r w:rsidR="006A4859">
        <w:t xml:space="preserve"> (</w:t>
      </w:r>
      <w:proofErr w:type="spellStart"/>
      <w:r w:rsidR="006A4859">
        <w:t>iv</w:t>
      </w:r>
      <w:proofErr w:type="spellEnd"/>
      <w:r w:rsidR="006A4859">
        <w:t xml:space="preserve">) </w:t>
      </w:r>
      <w:r w:rsidR="00A43C5B">
        <w:t>a adoção de política de negociação de valores mobiliários por administradores, empregados, colaboradores e pela própria empresa.</w:t>
      </w:r>
    </w:p>
    <w:p w14:paraId="75E97961" w14:textId="77777777" w:rsidR="00B62B8E" w:rsidRDefault="00B62B8E" w:rsidP="00B62B8E">
      <w:pPr>
        <w:pStyle w:val="PargrafodaLista"/>
      </w:pPr>
    </w:p>
    <w:p w14:paraId="1104BEDC" w14:textId="1AE726CD" w:rsidR="00B62B8E" w:rsidRDefault="0093407C" w:rsidP="008B0970">
      <w:pPr>
        <w:pStyle w:val="PargrafodaLista"/>
        <w:numPr>
          <w:ilvl w:val="0"/>
          <w:numId w:val="30"/>
        </w:numPr>
      </w:pPr>
      <w:r>
        <w:t xml:space="preserve">Que apresentem em </w:t>
      </w:r>
      <w:r w:rsidR="00F875A7">
        <w:t xml:space="preserve">seu quadro de colaboradores no mínimo um Economista </w:t>
      </w:r>
      <w:r w:rsidR="00F875A7" w:rsidRPr="007E6B64">
        <w:t>devidamente registr</w:t>
      </w:r>
      <w:r w:rsidR="0045510E" w:rsidRPr="007E6B64">
        <w:t>ado</w:t>
      </w:r>
      <w:r w:rsidR="00F875A7" w:rsidRPr="007E6B64">
        <w:t xml:space="preserve"> no</w:t>
      </w:r>
      <w:r w:rsidR="00F875A7">
        <w:t xml:space="preserve"> Conselho Regional de Economia – CORECON;</w:t>
      </w:r>
    </w:p>
    <w:p w14:paraId="7E1AB01F" w14:textId="77777777" w:rsidR="00B62B8E" w:rsidRDefault="00B62B8E" w:rsidP="00B62B8E">
      <w:pPr>
        <w:pStyle w:val="PargrafodaLista"/>
      </w:pPr>
    </w:p>
    <w:p w14:paraId="3D7FCDCD" w14:textId="77777777" w:rsidR="00B62B8E" w:rsidRDefault="005F2D9B" w:rsidP="008B0970">
      <w:pPr>
        <w:pStyle w:val="PargrafodaLista"/>
        <w:numPr>
          <w:ilvl w:val="0"/>
          <w:numId w:val="30"/>
        </w:numPr>
      </w:pPr>
      <w:r>
        <w:t>Que os profissionais e consultores que atuam diretamente nas atividades de orientação, recomendação e aconselhamento comprovem experiência profissional em atividades diretamente relacionadas à consultoria de valores mobiliários, gestão de recursos de terceiros ou análise de valores mobiliários;</w:t>
      </w:r>
    </w:p>
    <w:p w14:paraId="6B070D08" w14:textId="77777777" w:rsidR="00B62B8E" w:rsidRDefault="00B62B8E" w:rsidP="00B62B8E">
      <w:pPr>
        <w:pStyle w:val="PargrafodaLista"/>
      </w:pPr>
    </w:p>
    <w:p w14:paraId="4B229D31" w14:textId="5820AD6C" w:rsidR="00B62B8E" w:rsidRPr="007E6B64" w:rsidRDefault="005F2D9B" w:rsidP="00276EFD">
      <w:pPr>
        <w:pStyle w:val="PargrafodaLista"/>
        <w:numPr>
          <w:ilvl w:val="0"/>
          <w:numId w:val="30"/>
        </w:numPr>
      </w:pPr>
      <w:r>
        <w:t xml:space="preserve">Que </w:t>
      </w:r>
      <w:r w:rsidRPr="007E6B64">
        <w:t xml:space="preserve">os profissionais e consultores que atuam diretamente nas atividades de orientação, recomendação e aconselhamento comprovem possuírem no mínimo as certificações CEA </w:t>
      </w:r>
      <w:r w:rsidR="002C635C" w:rsidRPr="007E6B64">
        <w:t>(</w:t>
      </w:r>
      <w:r w:rsidR="007E6B64">
        <w:t xml:space="preserve">Certificação </w:t>
      </w:r>
      <w:proofErr w:type="spellStart"/>
      <w:r w:rsidR="007E6B64">
        <w:t>Anbima</w:t>
      </w:r>
      <w:proofErr w:type="spellEnd"/>
      <w:r w:rsidR="007E6B64">
        <w:t xml:space="preserve"> d</w:t>
      </w:r>
      <w:r w:rsidR="007E6B64" w:rsidRPr="007E6B64">
        <w:t xml:space="preserve">e Especialistas </w:t>
      </w:r>
      <w:r w:rsidR="007E6B64">
        <w:t>e</w:t>
      </w:r>
      <w:r w:rsidR="007E6B64" w:rsidRPr="007E6B64">
        <w:t>m Investimento</w:t>
      </w:r>
      <w:r w:rsidR="00D567AA" w:rsidRPr="007E6B64">
        <w:t xml:space="preserve">) </w:t>
      </w:r>
      <w:r w:rsidRPr="007E6B64">
        <w:t xml:space="preserve">e CGA </w:t>
      </w:r>
      <w:r w:rsidR="0091433C" w:rsidRPr="007E6B64">
        <w:t>(</w:t>
      </w:r>
      <w:r w:rsidR="007E6B64" w:rsidRPr="007E6B64">
        <w:t xml:space="preserve">Certificação </w:t>
      </w:r>
      <w:r w:rsidR="007E6B64">
        <w:t>d</w:t>
      </w:r>
      <w:r w:rsidR="007E6B64" w:rsidRPr="007E6B64">
        <w:t xml:space="preserve">e Gestores </w:t>
      </w:r>
      <w:proofErr w:type="spellStart"/>
      <w:r w:rsidR="007E6B64" w:rsidRPr="007E6B64">
        <w:t>Anbima</w:t>
      </w:r>
      <w:proofErr w:type="spellEnd"/>
      <w:r w:rsidR="0091433C" w:rsidRPr="007E6B64">
        <w:t xml:space="preserve">) </w:t>
      </w:r>
      <w:r w:rsidRPr="007E6B64">
        <w:t>e o registro de Consultor de Valores Mobiliários pessoa física</w:t>
      </w:r>
      <w:r w:rsidR="006E5598" w:rsidRPr="007E6B64">
        <w:t>.</w:t>
      </w:r>
    </w:p>
    <w:p w14:paraId="04FF7254" w14:textId="77777777" w:rsidR="00B62B8E" w:rsidRDefault="005F2D9B" w:rsidP="008B0970">
      <w:r w:rsidRPr="007E6B64">
        <w:t>Não serão considerados aptos os prestadores de serviços que atuem exclusivamente com as atividades:</w:t>
      </w:r>
    </w:p>
    <w:p w14:paraId="11A93168" w14:textId="77777777" w:rsidR="00B62B8E" w:rsidRDefault="005F2D9B" w:rsidP="008B0970">
      <w:pPr>
        <w:pStyle w:val="PargrafodaLista"/>
        <w:numPr>
          <w:ilvl w:val="0"/>
          <w:numId w:val="31"/>
        </w:numPr>
      </w:pPr>
      <w:r>
        <w:t>Como planejadores financeiros, cuja atuação circunscreva-se, dentre outros serviços, ao planejamento sucessório, produtos de previdência e administração de finanças em geral de seus clientes e que não envolvam a orientação, recomendação ou aconselhamento;</w:t>
      </w:r>
    </w:p>
    <w:p w14:paraId="7CBEF914" w14:textId="77777777" w:rsidR="00B62B8E" w:rsidRDefault="00B62B8E" w:rsidP="00B62B8E">
      <w:pPr>
        <w:pStyle w:val="PargrafodaLista"/>
      </w:pPr>
    </w:p>
    <w:p w14:paraId="4C8D123A" w14:textId="0C20C904" w:rsidR="00B62B8E" w:rsidRDefault="005F2D9B" w:rsidP="008B0970">
      <w:pPr>
        <w:pStyle w:val="PargrafodaLista"/>
        <w:numPr>
          <w:ilvl w:val="0"/>
          <w:numId w:val="31"/>
        </w:numPr>
      </w:pPr>
      <w:r>
        <w:t>Que promovam a elaboração de relatórios gerenciais ou de controle que objetivem, dentre outros, retratar a rentabilidade, composição e enquadramento de uma carteira de investimento à luz de políticas de investimento, regulamentos ou da regulamentação específica incidente sobre determinado tipo de cliente;</w:t>
      </w:r>
    </w:p>
    <w:p w14:paraId="5B010792" w14:textId="77777777" w:rsidR="00B62B8E" w:rsidRDefault="00B62B8E" w:rsidP="00B62B8E">
      <w:pPr>
        <w:pStyle w:val="PargrafodaLista"/>
      </w:pPr>
    </w:p>
    <w:p w14:paraId="1274F750" w14:textId="1EF3E395" w:rsidR="005F2D9B" w:rsidRDefault="005F2D9B" w:rsidP="008B0970">
      <w:pPr>
        <w:pStyle w:val="PargrafodaLista"/>
        <w:numPr>
          <w:ilvl w:val="0"/>
          <w:numId w:val="31"/>
        </w:numPr>
      </w:pPr>
      <w:r>
        <w:t>Como consultores especializados que não atuem nos mercados de valores mobiliários, tais como aqueles previstos nas regulamentações específicas sobre fundos de investimento em direitos creditórios e fundos de investimento imobiliário</w:t>
      </w:r>
      <w:r w:rsidR="000D347A">
        <w:t xml:space="preserve"> e</w:t>
      </w:r>
    </w:p>
    <w:p w14:paraId="7831CDFC" w14:textId="77777777" w:rsidR="000D347A" w:rsidRDefault="000D347A" w:rsidP="000D347A">
      <w:pPr>
        <w:pStyle w:val="PargrafodaLista"/>
      </w:pPr>
    </w:p>
    <w:p w14:paraId="6A3637CF" w14:textId="0E624310" w:rsidR="00FF0CA6" w:rsidRDefault="0010175C" w:rsidP="00FF0CA6">
      <w:pPr>
        <w:pStyle w:val="PargrafodaLista"/>
        <w:numPr>
          <w:ilvl w:val="0"/>
          <w:numId w:val="31"/>
        </w:numPr>
      </w:pPr>
      <w:r>
        <w:t>Consultores de Valores Mobiliários que atua</w:t>
      </w:r>
      <w:r w:rsidR="00410796">
        <w:t xml:space="preserve">m </w:t>
      </w:r>
      <w:r>
        <w:t>diretamente</w:t>
      </w:r>
      <w:r w:rsidR="00C112D7">
        <w:t xml:space="preserve"> na estruturação, </w:t>
      </w:r>
      <w:proofErr w:type="spellStart"/>
      <w:r w:rsidR="00C112D7">
        <w:t>originação</w:t>
      </w:r>
      <w:proofErr w:type="spellEnd"/>
      <w:r w:rsidR="00C112D7">
        <w:t>, gestão, administração e distribuição</w:t>
      </w:r>
      <w:r w:rsidR="00FF0CA6">
        <w:t xml:space="preserve"> de </w:t>
      </w:r>
      <w:r w:rsidR="00410796">
        <w:t>produtos de investimentos</w:t>
      </w:r>
      <w:r w:rsidR="00FF0CA6">
        <w:t xml:space="preserve"> que sejam ob</w:t>
      </w:r>
      <w:r w:rsidR="00C112D7">
        <w:t>jeto de orientação,</w:t>
      </w:r>
      <w:r w:rsidR="00FF0CA6">
        <w:t xml:space="preserve"> </w:t>
      </w:r>
      <w:r w:rsidR="00C112D7">
        <w:t>recomendação e aconselhamento aos seus clientes</w:t>
      </w:r>
      <w:r w:rsidR="005B5C59">
        <w:t>.</w:t>
      </w:r>
    </w:p>
    <w:p w14:paraId="0F62535F" w14:textId="26B7942E" w:rsidR="00880139" w:rsidRDefault="00880139" w:rsidP="00FF0CA6">
      <w:r>
        <w:t xml:space="preserve">Será admitido que o Consultor de Valores Mobiliários contratado e as entidades integrantes do sistema de distribuição de valores mobiliários e o </w:t>
      </w:r>
      <w:r w:rsidR="00287991">
        <w:rPr>
          <w:b/>
          <w:bCs/>
          <w:color w:val="000000" w:themeColor="text1"/>
          <w:szCs w:val="20"/>
        </w:rPr>
        <w:t>MUNICÍ</w:t>
      </w:r>
      <w:r w:rsidR="00287991" w:rsidRPr="006053F5">
        <w:rPr>
          <w:b/>
          <w:bCs/>
          <w:color w:val="000000" w:themeColor="text1"/>
          <w:szCs w:val="20"/>
        </w:rPr>
        <w:t>PIO</w:t>
      </w:r>
      <w:r w:rsidR="00287991" w:rsidRPr="00716D43">
        <w:rPr>
          <w:b/>
          <w:color w:val="000000" w:themeColor="text1"/>
        </w:rPr>
        <w:t xml:space="preserve"> </w:t>
      </w:r>
      <w:r w:rsidR="00716D43" w:rsidRPr="00716D43">
        <w:rPr>
          <w:b/>
          <w:color w:val="000000" w:themeColor="text1"/>
        </w:rPr>
        <w:t>DE GUARACI</w:t>
      </w:r>
      <w:r w:rsidR="00716D43">
        <w:t xml:space="preserve"> </w:t>
      </w:r>
      <w:r>
        <w:t xml:space="preserve">em comum acordo, estabeleçam canais de comunicação e ferramentas que permitam conferir maior agilidade e segurança à implementação das </w:t>
      </w:r>
      <w:r w:rsidR="00EF6270">
        <w:t xml:space="preserve">orientações, recomendações e aconselhamentos na </w:t>
      </w:r>
      <w:r>
        <w:t>execução de ordens</w:t>
      </w:r>
      <w:r w:rsidR="005F1851">
        <w:t>.</w:t>
      </w:r>
    </w:p>
    <w:p w14:paraId="500C57F0" w14:textId="000F1C4D" w:rsidR="00426CCE" w:rsidRPr="00716D43" w:rsidRDefault="00240597" w:rsidP="008B0970">
      <w:pPr>
        <w:rPr>
          <w:color w:val="000000" w:themeColor="text1"/>
        </w:rPr>
      </w:pPr>
      <w:r>
        <w:t>Não</w:t>
      </w:r>
      <w:r w:rsidR="00EE4115">
        <w:t xml:space="preserve"> serão aceitas</w:t>
      </w:r>
      <w:r w:rsidR="0098327A">
        <w:t xml:space="preserve"> ferramentas</w:t>
      </w:r>
      <w:r w:rsidR="00117A3B">
        <w:t xml:space="preserve"> fornecidas ou disponibilizadas </w:t>
      </w:r>
      <w:r w:rsidR="00BD1C9D">
        <w:t xml:space="preserve">pelos </w:t>
      </w:r>
      <w:r w:rsidR="00BD1C9D" w:rsidRPr="00BD1C9D">
        <w:t>integrantes do sistema de distribuição de valores mobiliários</w:t>
      </w:r>
      <w:r w:rsidR="005E7795">
        <w:t>,</w:t>
      </w:r>
      <w:r w:rsidR="00805DB1">
        <w:t xml:space="preserve"> </w:t>
      </w:r>
      <w:r w:rsidR="00117A3B">
        <w:t>mesmo que de forma gratuita</w:t>
      </w:r>
      <w:r w:rsidR="005411D4">
        <w:t xml:space="preserve">, </w:t>
      </w:r>
      <w:r w:rsidR="00805DB1">
        <w:t xml:space="preserve">não </w:t>
      </w:r>
      <w:r w:rsidR="005411D4">
        <w:t xml:space="preserve">gerando assim Conflito de Interesse </w:t>
      </w:r>
      <w:r w:rsidR="00913E9C">
        <w:t>ou a i</w:t>
      </w:r>
      <w:r w:rsidR="00805DB1">
        <w:t>ndu</w:t>
      </w:r>
      <w:r w:rsidR="00913E9C">
        <w:t>ção</w:t>
      </w:r>
      <w:r w:rsidR="00805DB1">
        <w:t xml:space="preserve"> a erro</w:t>
      </w:r>
      <w:r w:rsidR="004F6A72">
        <w:t>s</w:t>
      </w:r>
      <w:r w:rsidR="00913E9C">
        <w:t xml:space="preserve"> </w:t>
      </w:r>
      <w:r w:rsidR="009E0D11">
        <w:t xml:space="preserve">por parte do </w:t>
      </w:r>
      <w:r w:rsidR="00287991">
        <w:rPr>
          <w:b/>
          <w:bCs/>
          <w:color w:val="000000" w:themeColor="text1"/>
          <w:szCs w:val="20"/>
        </w:rPr>
        <w:t>MUNICÍ</w:t>
      </w:r>
      <w:r w:rsidR="00287991" w:rsidRPr="006053F5">
        <w:rPr>
          <w:b/>
          <w:bCs/>
          <w:color w:val="000000" w:themeColor="text1"/>
          <w:szCs w:val="20"/>
        </w:rPr>
        <w:t>PIO</w:t>
      </w:r>
      <w:r w:rsidR="00287991" w:rsidRPr="00716D43">
        <w:rPr>
          <w:b/>
          <w:color w:val="000000" w:themeColor="text1"/>
        </w:rPr>
        <w:t xml:space="preserve"> </w:t>
      </w:r>
      <w:r w:rsidR="00716D43" w:rsidRPr="00716D43">
        <w:rPr>
          <w:b/>
          <w:color w:val="000000" w:themeColor="text1"/>
        </w:rPr>
        <w:t>DE GUARACI</w:t>
      </w:r>
      <w:r w:rsidR="00716D43" w:rsidRPr="00716D43">
        <w:rPr>
          <w:color w:val="000000" w:themeColor="text1"/>
        </w:rPr>
        <w:t>.</w:t>
      </w:r>
    </w:p>
    <w:p w14:paraId="185D5BBF" w14:textId="2B5D1263" w:rsidR="00426CCE" w:rsidRDefault="008530C6" w:rsidP="00276EFD">
      <w:pPr>
        <w:pStyle w:val="Ttulo3"/>
      </w:pPr>
      <w:bookmarkStart w:id="18" w:name="_Toc118105132"/>
      <w:r w:rsidRPr="00AE5D5A">
        <w:lastRenderedPageBreak/>
        <w:t>GESTÃO DA APLICAÇÃO DOS RECURSOS</w:t>
      </w:r>
      <w:bookmarkEnd w:id="18"/>
    </w:p>
    <w:p w14:paraId="116D7E2A" w14:textId="77777777" w:rsidR="00324DE4" w:rsidRPr="00324DE4" w:rsidRDefault="00324DE4"/>
    <w:p w14:paraId="066EB8AD" w14:textId="77777777" w:rsidR="007A7B6E" w:rsidRPr="003B362B" w:rsidRDefault="007A7B6E" w:rsidP="00276EFD">
      <w:pPr>
        <w:pStyle w:val="Ttulo1"/>
        <w:numPr>
          <w:ilvl w:val="0"/>
          <w:numId w:val="0"/>
        </w:numPr>
        <w:spacing w:before="360" w:line="276" w:lineRule="auto"/>
        <w:ind w:left="709"/>
      </w:pPr>
      <w:bookmarkStart w:id="19" w:name="_Toc114216502"/>
      <w:bookmarkStart w:id="20" w:name="_Toc114218269"/>
      <w:bookmarkStart w:id="21" w:name="_Toc114219148"/>
      <w:bookmarkStart w:id="22" w:name="_Toc118105133"/>
      <w:r w:rsidRPr="007A7B6E">
        <w:rPr>
          <w:rFonts w:ascii="Gentona Light" w:eastAsiaTheme="minorHAnsi" w:hAnsi="Gentona Light" w:cstheme="minorBidi"/>
          <w:color w:val="0D0E0E"/>
          <w:sz w:val="22"/>
          <w:szCs w:val="22"/>
        </w:rPr>
        <w:t>Conforme dispõe a Portaria nº 1.467/2022, o responsável pelo Regime Próprio de Previdência Social e os membros que compõem o Comitê de Investimentos deverão comprovar:</w:t>
      </w:r>
      <w:bookmarkEnd w:id="19"/>
      <w:bookmarkEnd w:id="20"/>
      <w:bookmarkEnd w:id="21"/>
      <w:bookmarkEnd w:id="22"/>
      <w:r w:rsidRPr="007A7B6E">
        <w:rPr>
          <w:rFonts w:ascii="Gentona Light" w:eastAsiaTheme="minorHAnsi" w:hAnsi="Gentona Light" w:cstheme="minorBidi"/>
          <w:color w:val="0D0E0E"/>
          <w:sz w:val="22"/>
          <w:szCs w:val="22"/>
        </w:rPr>
        <w:t xml:space="preserve"> </w:t>
      </w:r>
    </w:p>
    <w:p w14:paraId="0CC40480" w14:textId="60AF7121" w:rsidR="00907B3B" w:rsidRDefault="00907B3B" w:rsidP="00276EFD">
      <w:pPr>
        <w:pStyle w:val="Ttulo1"/>
        <w:numPr>
          <w:ilvl w:val="0"/>
          <w:numId w:val="47"/>
        </w:numPr>
        <w:spacing w:before="360" w:line="276" w:lineRule="auto"/>
      </w:pPr>
      <w:bookmarkStart w:id="23" w:name="_Toc114216503"/>
      <w:bookmarkStart w:id="24" w:name="_Toc114218270"/>
      <w:bookmarkStart w:id="25" w:name="_Toc114219149"/>
      <w:bookmarkStart w:id="26" w:name="_Toc118105134"/>
      <w:r>
        <w:rPr>
          <w:rFonts w:ascii="Gentona Light" w:eastAsiaTheme="minorHAnsi" w:hAnsi="Gentona Light" w:cstheme="minorBidi"/>
          <w:color w:val="0D0E0E"/>
          <w:sz w:val="22"/>
          <w:szCs w:val="22"/>
        </w:rPr>
        <w:t>Não ter sofrido condenação criminal ou incidido em alguma situação de inelegibilidade prevista no artigo 1º da LC nº 64/1990.</w:t>
      </w:r>
      <w:bookmarkEnd w:id="23"/>
      <w:bookmarkEnd w:id="24"/>
      <w:bookmarkEnd w:id="25"/>
      <w:bookmarkEnd w:id="26"/>
    </w:p>
    <w:p w14:paraId="4CE15209" w14:textId="65D43107" w:rsidR="00907B3B" w:rsidRDefault="00907B3B" w:rsidP="00276EFD">
      <w:pPr>
        <w:pStyle w:val="PargrafodaLista"/>
        <w:numPr>
          <w:ilvl w:val="0"/>
          <w:numId w:val="47"/>
        </w:numPr>
        <w:spacing w:line="276" w:lineRule="auto"/>
      </w:pPr>
      <w:r>
        <w:t>Possuir certificação por meio de processo realizado por entidade certificadora para comprovação de atendimento e verificação de conformidade com os requisitos técnicos necessários para o exercício de determinado cargo ou função.</w:t>
      </w:r>
    </w:p>
    <w:p w14:paraId="03708249" w14:textId="77D03C5D" w:rsidR="00907B3B" w:rsidRDefault="00907B3B" w:rsidP="00276EFD">
      <w:pPr>
        <w:pStyle w:val="PargrafodaLista"/>
        <w:numPr>
          <w:ilvl w:val="0"/>
          <w:numId w:val="47"/>
        </w:numPr>
        <w:spacing w:line="276" w:lineRule="auto"/>
      </w:pPr>
      <w:r>
        <w:t xml:space="preserve">Possuir comprovada experiência no exercício de atividade nas áreas financeira, administrativa, contábil, jurídica, de </w:t>
      </w:r>
      <w:r w:rsidR="00FB04EE">
        <w:t>fiscalização, atuarial ou de auditoria; e</w:t>
      </w:r>
    </w:p>
    <w:p w14:paraId="64F43434" w14:textId="31D541EF" w:rsidR="00FB04EE" w:rsidRDefault="00A25F16" w:rsidP="00276EFD">
      <w:pPr>
        <w:pStyle w:val="PargrafodaLista"/>
        <w:numPr>
          <w:ilvl w:val="0"/>
          <w:numId w:val="47"/>
        </w:numPr>
        <w:spacing w:line="276" w:lineRule="auto"/>
      </w:pPr>
      <w:r>
        <w:t>Ter</w:t>
      </w:r>
      <w:r w:rsidR="00FB04EE">
        <w:t xml:space="preserve"> formação acadêmica em nível superior. </w:t>
      </w:r>
    </w:p>
    <w:p w14:paraId="02A20840" w14:textId="799A426E" w:rsidR="008F5B6C" w:rsidRDefault="00F63C72" w:rsidP="00276EFD">
      <w:pPr>
        <w:spacing w:line="276" w:lineRule="auto"/>
      </w:pPr>
      <w:r>
        <w:t xml:space="preserve">A </w:t>
      </w:r>
      <w:r w:rsidR="00F44244" w:rsidRPr="00D14797">
        <w:t>atribuição</w:t>
      </w:r>
      <w:r>
        <w:t xml:space="preserve"> do responsável pelo RPPS ainda se estende à exigência de que a certificação deverá ser emitida em processo realizado por entidade certificadora reconhecida e os prazos deverão corresponder à:</w:t>
      </w:r>
    </w:p>
    <w:p w14:paraId="22655A54" w14:textId="2E102986" w:rsidR="00F63C72" w:rsidRDefault="00A25F16" w:rsidP="00276EFD">
      <w:pPr>
        <w:pStyle w:val="PargrafodaLista"/>
        <w:numPr>
          <w:ilvl w:val="0"/>
          <w:numId w:val="48"/>
        </w:numPr>
        <w:spacing w:line="276" w:lineRule="auto"/>
      </w:pPr>
      <w:r>
        <w:t>Dos</w:t>
      </w:r>
      <w:r w:rsidR="00F63C72">
        <w:t xml:space="preserve"> dirigentes da unidade gestora, 1 </w:t>
      </w:r>
      <w:r w:rsidR="007A7B6E">
        <w:t xml:space="preserve">(um) </w:t>
      </w:r>
      <w:r w:rsidR="00F63C72">
        <w:t>ano, a contar da data da posse</w:t>
      </w:r>
    </w:p>
    <w:p w14:paraId="75820295" w14:textId="3D15D0AC" w:rsidR="00F63C72" w:rsidRDefault="00A25F16" w:rsidP="00276EFD">
      <w:pPr>
        <w:pStyle w:val="PargrafodaLista"/>
        <w:numPr>
          <w:ilvl w:val="0"/>
          <w:numId w:val="48"/>
        </w:numPr>
        <w:spacing w:line="276" w:lineRule="auto"/>
      </w:pPr>
      <w:r>
        <w:t>Dos</w:t>
      </w:r>
      <w:r w:rsidR="00F63C72">
        <w:t xml:space="preserve"> membros titulares dos conselhos deliberativo e fiscal, 1 </w:t>
      </w:r>
      <w:r w:rsidR="007A7B6E">
        <w:t xml:space="preserve">(um) </w:t>
      </w:r>
      <w:r w:rsidR="00F63C72">
        <w:t>an</w:t>
      </w:r>
      <w:r>
        <w:t>o, a contar da data da posse</w:t>
      </w:r>
    </w:p>
    <w:p w14:paraId="4C917860" w14:textId="211AE637" w:rsidR="00F63C72" w:rsidRDefault="00A25F16" w:rsidP="00276EFD">
      <w:pPr>
        <w:pStyle w:val="PargrafodaLista"/>
        <w:numPr>
          <w:ilvl w:val="0"/>
          <w:numId w:val="48"/>
        </w:numPr>
        <w:spacing w:line="276" w:lineRule="auto"/>
      </w:pPr>
      <w:r>
        <w:t>Do</w:t>
      </w:r>
      <w:r w:rsidR="00F63C72">
        <w:t xml:space="preserve"> responsável pela gestão das aplicações dos recursos dos RPPS e dos membros titulares do comitê de investimentos, previamente ao exercício de suas </w:t>
      </w:r>
      <w:r>
        <w:t>funções</w:t>
      </w:r>
      <w:r w:rsidR="00F63C72">
        <w:t>.</w:t>
      </w:r>
    </w:p>
    <w:p w14:paraId="170FDB99" w14:textId="73E81974" w:rsidR="00F63C72" w:rsidRDefault="00F63C72" w:rsidP="00276EFD">
      <w:pPr>
        <w:spacing w:line="276" w:lineRule="auto"/>
      </w:pPr>
      <w:r>
        <w:t xml:space="preserve">Caso haja a necessidade de substituição dos titulares dos cargos ou funções referidas acima, os sucessores deverão comprovar </w:t>
      </w:r>
      <w:r w:rsidR="007A7B6E">
        <w:t xml:space="preserve">antes de decorrido 1 (um) </w:t>
      </w:r>
      <w:r>
        <w:t>ano de sua posse, o prazo para comprovação que ainda restava ao profissional substituído.</w:t>
      </w:r>
    </w:p>
    <w:p w14:paraId="5F2A5D12" w14:textId="76808968" w:rsidR="00F63C72" w:rsidRDefault="00A25F16" w:rsidP="00276EFD">
      <w:pPr>
        <w:spacing w:line="276" w:lineRule="auto"/>
      </w:pPr>
      <w:r>
        <w:t xml:space="preserve">A partir de </w:t>
      </w:r>
      <w:r w:rsidR="007A7B6E">
        <w:t>1 (</w:t>
      </w:r>
      <w:r>
        <w:t>um</w:t>
      </w:r>
      <w:r w:rsidR="007A7B6E">
        <w:t>)</w:t>
      </w:r>
      <w:r>
        <w:t xml:space="preserve"> ano de sua posse e até o término de seu mandato originário, o dirigente sucessor ou o membro suplente que assumir como titular deverão possuir certificação para entrar em exercício na correspondente função.</w:t>
      </w:r>
    </w:p>
    <w:p w14:paraId="3E5D6B60" w14:textId="6A7A62B4" w:rsidR="00A25F16" w:rsidRDefault="00A25F16" w:rsidP="00276EFD">
      <w:pPr>
        <w:spacing w:line="276" w:lineRule="auto"/>
      </w:pPr>
      <w:r>
        <w:t>Para mandatos de dirigentes ou membros dos conselhos deliberativos e fiscais inferiores a 4</w:t>
      </w:r>
      <w:r w:rsidR="007A7B6E">
        <w:t xml:space="preserve"> (quatro) anos</w:t>
      </w:r>
      <w:r>
        <w:t>, o prazo é de 6</w:t>
      </w:r>
      <w:r w:rsidR="007A7B6E">
        <w:t xml:space="preserve"> (seis) meses</w:t>
      </w:r>
      <w:r>
        <w:t>.</w:t>
      </w:r>
    </w:p>
    <w:p w14:paraId="2F47301D" w14:textId="74297206" w:rsidR="00A25F16" w:rsidRDefault="00A25F16" w:rsidP="00276EFD">
      <w:pPr>
        <w:spacing w:line="276" w:lineRule="auto"/>
      </w:pPr>
      <w:r>
        <w:t xml:space="preserve">Todas as certificações terão validade máxima de 4 </w:t>
      </w:r>
      <w:r w:rsidR="007A7B6E">
        <w:t xml:space="preserve">(quatro) </w:t>
      </w:r>
      <w:r>
        <w:t xml:space="preserve">anos e deverão ser obtidas mediante </w:t>
      </w:r>
      <w:r w:rsidR="00DC46FC">
        <w:t xml:space="preserve">aprovação previa em exames através de provas, ou por provas e títulos, ou adicionalmente por análise de experiência e, em caso de renovação, por programa de qualificação continuada. </w:t>
      </w:r>
    </w:p>
    <w:p w14:paraId="74E59716" w14:textId="6857291C" w:rsidR="00DC46FC" w:rsidRDefault="00DC46FC" w:rsidP="00276EFD">
      <w:pPr>
        <w:spacing w:line="276" w:lineRule="auto"/>
      </w:pPr>
      <w:r>
        <w:t>As certificações e programas de qualificação continuada deverão ter os seus conteúdos alinhados aos requisitos técnicos necessários ao exercício da correspondente função.</w:t>
      </w:r>
    </w:p>
    <w:p w14:paraId="1C439927" w14:textId="3AD5C8FE" w:rsidR="00DC46FC" w:rsidRDefault="00DC46FC" w:rsidP="00276EFD">
      <w:pPr>
        <w:spacing w:line="276" w:lineRule="auto"/>
      </w:pPr>
      <w:r>
        <w:t>Para fins de cumprimento no que dispõe o texto acima, a gestão do reconhecimento dos certificados e das entidades certificadoras, a ser efetuadas na forma definida pela SPREV, deverá contemplar entre outras as seguintes medidas:</w:t>
      </w:r>
    </w:p>
    <w:p w14:paraId="7355BA37" w14:textId="086552E0" w:rsidR="00DC46FC" w:rsidRDefault="00BD66ED" w:rsidP="00276EFD">
      <w:pPr>
        <w:pStyle w:val="PargrafodaLista"/>
        <w:numPr>
          <w:ilvl w:val="0"/>
          <w:numId w:val="49"/>
        </w:numPr>
        <w:spacing w:line="276" w:lineRule="auto"/>
      </w:pPr>
      <w:r>
        <w:lastRenderedPageBreak/>
        <w:t>Análise e decisão sobre os pedidos de reconhecimento das entidades certificadoras e dos correspondentes certificados ou programas de qualificação continuada;</w:t>
      </w:r>
    </w:p>
    <w:p w14:paraId="4750F8CB" w14:textId="27D19C96" w:rsidR="00BD66ED" w:rsidRDefault="00BD66ED" w:rsidP="00276EFD">
      <w:pPr>
        <w:pStyle w:val="PargrafodaLista"/>
        <w:numPr>
          <w:ilvl w:val="0"/>
          <w:numId w:val="49"/>
        </w:numPr>
        <w:spacing w:line="276" w:lineRule="auto"/>
      </w:pPr>
      <w:r>
        <w:t>Definição dos modelos dos processos de certificação ou programas de qualificação continuada e os conteúdos mínimos dos temas para cada tipo de certificação ou programa;</w:t>
      </w:r>
    </w:p>
    <w:p w14:paraId="668217A2" w14:textId="7D1F76CE" w:rsidR="00BD66ED" w:rsidRDefault="00BD66ED" w:rsidP="00276EFD">
      <w:pPr>
        <w:pStyle w:val="PargrafodaLista"/>
        <w:numPr>
          <w:ilvl w:val="0"/>
          <w:numId w:val="49"/>
        </w:numPr>
        <w:spacing w:line="276" w:lineRule="auto"/>
      </w:pPr>
      <w:r>
        <w:t>Definição dos critérios de qualificação técnica das entidades certificadoras;</w:t>
      </w:r>
    </w:p>
    <w:p w14:paraId="6FFDF7FC" w14:textId="2090CC3E" w:rsidR="00BD66ED" w:rsidRDefault="00BD66ED" w:rsidP="00276EFD">
      <w:pPr>
        <w:pStyle w:val="PargrafodaLista"/>
        <w:numPr>
          <w:ilvl w:val="0"/>
          <w:numId w:val="49"/>
        </w:numPr>
        <w:spacing w:line="276" w:lineRule="auto"/>
      </w:pPr>
      <w:r>
        <w:t>Reconhecimento do processo de certificação e programa de qualificação continuada em que os requisitos técnicos necessários para o exercício da função sejam estabelecidos por modelo que considere sistema de atribuição de pontos por nível ou tipo de certificação;</w:t>
      </w:r>
    </w:p>
    <w:p w14:paraId="1F9E8CEB" w14:textId="1E25D739" w:rsidR="00BD66ED" w:rsidRDefault="00BD66ED" w:rsidP="00276EFD">
      <w:pPr>
        <w:pStyle w:val="PargrafodaLista"/>
        <w:numPr>
          <w:ilvl w:val="0"/>
          <w:numId w:val="49"/>
        </w:numPr>
        <w:spacing w:line="276" w:lineRule="auto"/>
      </w:pPr>
      <w:r>
        <w:t>Estabelecimento de critérios para implantação gradual e aperfeiçoamento dos processos de certificação e programas de qualificação continuada de que trata este artigo.</w:t>
      </w:r>
    </w:p>
    <w:p w14:paraId="0A1D3924" w14:textId="07FC0C58" w:rsidR="00BD66ED" w:rsidRDefault="00BD66ED" w:rsidP="00276EFD">
      <w:pPr>
        <w:pStyle w:val="PargrafodaLista"/>
        <w:numPr>
          <w:ilvl w:val="0"/>
          <w:numId w:val="49"/>
        </w:numPr>
        <w:spacing w:line="276" w:lineRule="auto"/>
      </w:pPr>
      <w:r>
        <w:t>Estabelecimento de critérios para implantação gradual e aperfeiçoamento dos processos de certificação e programas de qualificação continuada de que trata este artigo.</w:t>
      </w:r>
    </w:p>
    <w:p w14:paraId="386EA6A6" w14:textId="253CF7CB" w:rsidR="00BD66ED" w:rsidRDefault="00BD66ED" w:rsidP="00276EFD">
      <w:pPr>
        <w:spacing w:line="276" w:lineRule="auto"/>
        <w:ind w:left="360"/>
      </w:pPr>
      <w:r>
        <w:t xml:space="preserve">O programa de qualificação continuada deverá exigir, como condição de aprovação, dentre outras atividades, produção acadêmica, participação periódica em cursos presenciais ou educação a distância e em eventos de capacitação e educação previdenciárias. </w:t>
      </w:r>
    </w:p>
    <w:p w14:paraId="7FE909AE" w14:textId="75C4C9CC" w:rsidR="00D145BF" w:rsidRDefault="00D145BF" w:rsidP="00276EFD">
      <w:pPr>
        <w:spacing w:line="276" w:lineRule="auto"/>
        <w:ind w:left="360"/>
      </w:pPr>
      <w:r>
        <w:t>A SPREV contará com divulgação na página d</w:t>
      </w:r>
      <w:r w:rsidRPr="007E6B64">
        <w:t xml:space="preserve">a </w:t>
      </w:r>
      <w:r w:rsidR="00F40082" w:rsidRPr="007E6B64">
        <w:t>Previdência</w:t>
      </w:r>
      <w:r>
        <w:t xml:space="preserve"> Social na internet referente aos certificados e programas de qualificação continuada. </w:t>
      </w:r>
    </w:p>
    <w:p w14:paraId="482C7212" w14:textId="77777777" w:rsidR="00592FB4" w:rsidRDefault="00D145BF" w:rsidP="00276EFD">
      <w:pPr>
        <w:spacing w:line="276" w:lineRule="auto"/>
        <w:ind w:left="360"/>
      </w:pPr>
      <w:r>
        <w:t>As certificações e programas de qualificação continuada poderão ser graduados em níveis básicos, intermediário e avançado, exigidos de forma proporcional ao porte, ao volume de recursos e às demais características dos RPPS, conforme o ISP-RPPS.</w:t>
      </w:r>
    </w:p>
    <w:p w14:paraId="5A26A05C" w14:textId="77777777" w:rsidR="00742968" w:rsidRPr="00276EFD" w:rsidRDefault="00742968" w:rsidP="00276EFD">
      <w:pPr>
        <w:pStyle w:val="Ttulo1"/>
        <w:spacing w:before="360"/>
        <w:rPr>
          <w:rFonts w:ascii="Segoe UI Symbol" w:hAnsi="Segoe UI Symbol"/>
        </w:rPr>
      </w:pPr>
      <w:bookmarkStart w:id="27" w:name="_Toc118105135"/>
      <w:r>
        <w:t>APLICAÇÃO EM TÍTULOS PÚBLICOS</w:t>
      </w:r>
      <w:bookmarkEnd w:id="27"/>
      <w:r>
        <w:t xml:space="preserve"> </w:t>
      </w:r>
    </w:p>
    <w:p w14:paraId="469245AC" w14:textId="0E2F894B" w:rsidR="00742968" w:rsidRDefault="00742968">
      <w:r>
        <w:t xml:space="preserve">Em caso de negociações diretas com títulos de emissão do Tesouro Nacional, a unidade gestora deverá observar os parâmetros previstos </w:t>
      </w:r>
      <w:r w:rsidR="00290D1C">
        <w:t xml:space="preserve">na </w:t>
      </w:r>
      <w:r w:rsidR="00290D1C" w:rsidRPr="0020177F">
        <w:t>Portaria nº 1.467/2022,</w:t>
      </w:r>
      <w:r w:rsidRPr="0020177F">
        <w:t xml:space="preserve"> anexo </w:t>
      </w:r>
      <w:r w:rsidR="00A87EF2">
        <w:t>VIII, Seção I.</w:t>
      </w:r>
      <w:r>
        <w:t xml:space="preserve"> </w:t>
      </w:r>
    </w:p>
    <w:p w14:paraId="2DE38F6E" w14:textId="13473EB8" w:rsidR="00742968" w:rsidRDefault="00742968">
      <w:r>
        <w:t xml:space="preserve">A </w:t>
      </w:r>
      <w:r w:rsidR="00324801">
        <w:t>P</w:t>
      </w:r>
      <w:r>
        <w:t>ortaria nº 1.467/2022, dispõe algumas vedações referente a aplicação dos recursos financeiros acumulados pelo RPPS em títulos, sendo essas vedações as seguintes:</w:t>
      </w:r>
    </w:p>
    <w:p w14:paraId="6710DFCF" w14:textId="77777777" w:rsidR="00742968" w:rsidRPr="00276EFD" w:rsidRDefault="00742968" w:rsidP="00276EFD">
      <w:pPr>
        <w:pStyle w:val="PargrafodaLista"/>
        <w:numPr>
          <w:ilvl w:val="0"/>
          <w:numId w:val="66"/>
        </w:numPr>
        <w:rPr>
          <w:rFonts w:ascii="Segoe UI Symbol" w:hAnsi="Segoe UI Symbol"/>
        </w:rPr>
      </w:pPr>
      <w:r>
        <w:t>Que não sejam emitidos pelo Tesouro Nacional;</w:t>
      </w:r>
    </w:p>
    <w:p w14:paraId="585DA476" w14:textId="77777777" w:rsidR="00742968" w:rsidRPr="00276EFD" w:rsidRDefault="00742968" w:rsidP="00276EFD">
      <w:pPr>
        <w:pStyle w:val="PargrafodaLista"/>
        <w:numPr>
          <w:ilvl w:val="0"/>
          <w:numId w:val="66"/>
        </w:numPr>
        <w:rPr>
          <w:rFonts w:ascii="Segoe UI Symbol" w:hAnsi="Segoe UI Symbol"/>
        </w:rPr>
      </w:pPr>
      <w:r>
        <w:t xml:space="preserve">Que não sejam registradas no SELIC; e </w:t>
      </w:r>
    </w:p>
    <w:p w14:paraId="1DF54F7E" w14:textId="2F3DD89C" w:rsidR="0026139D" w:rsidRPr="00276EFD" w:rsidRDefault="00B36D31" w:rsidP="00276EFD">
      <w:pPr>
        <w:pStyle w:val="PargrafodaLista"/>
        <w:numPr>
          <w:ilvl w:val="0"/>
          <w:numId w:val="66"/>
        </w:numPr>
        <w:rPr>
          <w:rFonts w:ascii="Segoe UI Symbol" w:hAnsi="Segoe UI Symbol"/>
        </w:rPr>
      </w:pPr>
      <w:r>
        <w:t xml:space="preserve">Que não sejam emitidos </w:t>
      </w:r>
      <w:r w:rsidR="00742968">
        <w:t xml:space="preserve">por Estados, Distrito Federal ou Municípios. </w:t>
      </w:r>
    </w:p>
    <w:p w14:paraId="22C1239A" w14:textId="62F251C5" w:rsidR="006B0FB7" w:rsidRPr="0026139D" w:rsidRDefault="006B0FB7" w:rsidP="00B62B8E">
      <w:pPr>
        <w:pStyle w:val="Ttulo1"/>
        <w:spacing w:before="360"/>
      </w:pPr>
      <w:bookmarkStart w:id="28" w:name="_Toc496794775"/>
      <w:bookmarkStart w:id="29" w:name="_Toc435202746"/>
      <w:bookmarkStart w:id="30" w:name="_Toc490036552"/>
      <w:bookmarkStart w:id="31" w:name="_Toc118105136"/>
      <w:bookmarkEnd w:id="10"/>
      <w:bookmarkEnd w:id="11"/>
      <w:bookmarkEnd w:id="28"/>
      <w:r w:rsidRPr="0026139D">
        <w:t>META</w:t>
      </w:r>
      <w:r w:rsidR="002A7247" w:rsidRPr="0026139D">
        <w:t xml:space="preserve"> DE RENTABILIDADE</w:t>
      </w:r>
      <w:bookmarkEnd w:id="29"/>
      <w:bookmarkEnd w:id="30"/>
      <w:bookmarkEnd w:id="31"/>
    </w:p>
    <w:p w14:paraId="342393AD" w14:textId="5A5CC623" w:rsidR="00BF00B3" w:rsidRDefault="00BF00B3" w:rsidP="00B62B8E">
      <w:pPr>
        <w:rPr>
          <w:bCs/>
          <w:szCs w:val="20"/>
        </w:rPr>
      </w:pPr>
      <w:r>
        <w:rPr>
          <w:bCs/>
          <w:szCs w:val="20"/>
        </w:rPr>
        <w:t xml:space="preserve">A Portaria </w:t>
      </w:r>
      <w:r w:rsidR="008D0770">
        <w:rPr>
          <w:bCs/>
          <w:szCs w:val="20"/>
        </w:rPr>
        <w:t>nº 1.467/2022</w:t>
      </w:r>
      <w:r>
        <w:rPr>
          <w:bCs/>
          <w:szCs w:val="20"/>
        </w:rPr>
        <w:t xml:space="preserve">, que estabelece as </w:t>
      </w:r>
      <w:r w:rsidR="001A6EB3">
        <w:rPr>
          <w:bCs/>
          <w:szCs w:val="20"/>
        </w:rPr>
        <w:t>normas aplicáveis às avaliações atuariais</w:t>
      </w:r>
      <w:r>
        <w:rPr>
          <w:bCs/>
          <w:szCs w:val="20"/>
        </w:rPr>
        <w:t xml:space="preserve"> dos Regimes Próprio de Previdência Social, determina que a taxa atuarial de juros a ser utilizada nas Avaliações Atuariais </w:t>
      </w:r>
      <w:r w:rsidR="00A03FDF" w:rsidRPr="00A03FDF">
        <w:rPr>
          <w:bCs/>
          <w:szCs w:val="20"/>
        </w:rPr>
        <w:t xml:space="preserve">será equivalente à taxa de juros parâmetro cujo ponto da Estrutura a Termo de Taxa de Juros Média - ETTJ seja o mais próximo à duração do passivo do </w:t>
      </w:r>
      <w:r w:rsidR="00287991">
        <w:rPr>
          <w:b/>
          <w:bCs/>
          <w:color w:val="000000" w:themeColor="text1"/>
          <w:szCs w:val="20"/>
        </w:rPr>
        <w:t>MUNICÍ</w:t>
      </w:r>
      <w:r w:rsidR="00287991" w:rsidRPr="006053F5">
        <w:rPr>
          <w:b/>
          <w:bCs/>
          <w:color w:val="000000" w:themeColor="text1"/>
          <w:szCs w:val="20"/>
        </w:rPr>
        <w:t>PIO</w:t>
      </w:r>
      <w:r w:rsidR="00287991" w:rsidRPr="00716D43">
        <w:rPr>
          <w:b/>
          <w:color w:val="000000" w:themeColor="text1"/>
        </w:rPr>
        <w:t xml:space="preserve"> </w:t>
      </w:r>
      <w:r w:rsidR="00716D43" w:rsidRPr="00716D43">
        <w:rPr>
          <w:b/>
          <w:color w:val="000000" w:themeColor="text1"/>
        </w:rPr>
        <w:t>DE GUARACI</w:t>
      </w:r>
      <w:r w:rsidR="00A03FDF" w:rsidRPr="00A03FDF">
        <w:rPr>
          <w:bCs/>
          <w:szCs w:val="20"/>
        </w:rPr>
        <w:t>.</w:t>
      </w:r>
    </w:p>
    <w:p w14:paraId="76931939" w14:textId="6C7F6B38" w:rsidR="00C471CF" w:rsidRPr="0020177F" w:rsidRDefault="00C471CF" w:rsidP="00B62B8E">
      <w:pPr>
        <w:rPr>
          <w:bCs/>
          <w:szCs w:val="20"/>
        </w:rPr>
      </w:pPr>
      <w:r>
        <w:rPr>
          <w:bCs/>
          <w:szCs w:val="20"/>
        </w:rPr>
        <w:t xml:space="preserve">A taxa de </w:t>
      </w:r>
      <w:r w:rsidR="00667AD0">
        <w:rPr>
          <w:bCs/>
          <w:szCs w:val="20"/>
        </w:rPr>
        <w:t>desconto</w:t>
      </w:r>
      <w:r w:rsidR="009824E4">
        <w:rPr>
          <w:bCs/>
          <w:szCs w:val="20"/>
        </w:rPr>
        <w:t xml:space="preserve">, também conhecida como meta atuarial, é </w:t>
      </w:r>
      <w:r w:rsidR="00667AD0">
        <w:rPr>
          <w:bCs/>
          <w:szCs w:val="20"/>
        </w:rPr>
        <w:t>utilizada no c</w:t>
      </w:r>
      <w:r w:rsidR="00E02290">
        <w:rPr>
          <w:bCs/>
          <w:szCs w:val="20"/>
        </w:rPr>
        <w:t xml:space="preserve">álculo das avaliações </w:t>
      </w:r>
      <w:r w:rsidR="00667AD0" w:rsidRPr="0020177F">
        <w:rPr>
          <w:bCs/>
          <w:szCs w:val="20"/>
        </w:rPr>
        <w:t>atuari</w:t>
      </w:r>
      <w:r w:rsidR="00E02290" w:rsidRPr="0020177F">
        <w:rPr>
          <w:bCs/>
          <w:szCs w:val="20"/>
        </w:rPr>
        <w:t>as</w:t>
      </w:r>
      <w:r w:rsidR="00667AD0" w:rsidRPr="0020177F">
        <w:rPr>
          <w:bCs/>
          <w:szCs w:val="20"/>
        </w:rPr>
        <w:t xml:space="preserve"> para trazer o valor presente de todos os compromissos do plano de benefícios na linha do tempo</w:t>
      </w:r>
      <w:r w:rsidR="00952F7F" w:rsidRPr="0020177F">
        <w:rPr>
          <w:bCs/>
          <w:szCs w:val="20"/>
        </w:rPr>
        <w:t xml:space="preserve"> e que </w:t>
      </w:r>
      <w:r w:rsidR="00667AD0" w:rsidRPr="0020177F">
        <w:rPr>
          <w:bCs/>
          <w:szCs w:val="20"/>
        </w:rPr>
        <w:t>determina assim o quanto de patrimônio o Regime Próprio de Previdência Social deverá possuir para manter o equilíbrio atuarial.</w:t>
      </w:r>
    </w:p>
    <w:p w14:paraId="0FB664F3" w14:textId="519C9BD1" w:rsidR="00D03623" w:rsidRPr="0020177F" w:rsidRDefault="00830DBF" w:rsidP="00B62B8E">
      <w:pPr>
        <w:rPr>
          <w:bCs/>
          <w:szCs w:val="20"/>
        </w:rPr>
      </w:pPr>
      <w:r w:rsidRPr="0020177F">
        <w:rPr>
          <w:bCs/>
          <w:szCs w:val="20"/>
        </w:rPr>
        <w:lastRenderedPageBreak/>
        <w:t>E</w:t>
      </w:r>
      <w:r w:rsidR="00D03623" w:rsidRPr="0020177F">
        <w:rPr>
          <w:bCs/>
          <w:szCs w:val="20"/>
        </w:rPr>
        <w:t>sse equilíbrio somente será possível de se obter caso os</w:t>
      </w:r>
      <w:r w:rsidR="00F20253" w:rsidRPr="0020177F">
        <w:rPr>
          <w:bCs/>
          <w:szCs w:val="20"/>
        </w:rPr>
        <w:t xml:space="preserve"> recursos</w:t>
      </w:r>
      <w:r w:rsidR="00D03623" w:rsidRPr="0020177F">
        <w:rPr>
          <w:bCs/>
          <w:szCs w:val="20"/>
        </w:rPr>
        <w:t xml:space="preserve"> sejam remunerados, no mínimo, por </w:t>
      </w:r>
      <w:r w:rsidRPr="0020177F">
        <w:rPr>
          <w:bCs/>
          <w:szCs w:val="20"/>
        </w:rPr>
        <w:t>uma taxa igual ou</w:t>
      </w:r>
      <w:r w:rsidR="00F20253" w:rsidRPr="0020177F">
        <w:rPr>
          <w:bCs/>
          <w:szCs w:val="20"/>
        </w:rPr>
        <w:t xml:space="preserve"> superior</w:t>
      </w:r>
      <w:r w:rsidR="00D03623" w:rsidRPr="0020177F">
        <w:rPr>
          <w:bCs/>
          <w:szCs w:val="20"/>
        </w:rPr>
        <w:t>. Do contrário, se a taxa que remunera os</w:t>
      </w:r>
      <w:r w:rsidR="002E3B5C" w:rsidRPr="0020177F">
        <w:rPr>
          <w:bCs/>
          <w:szCs w:val="20"/>
        </w:rPr>
        <w:t xml:space="preserve"> recursos</w:t>
      </w:r>
      <w:r w:rsidR="00D03623" w:rsidRPr="0020177F">
        <w:rPr>
          <w:bCs/>
          <w:szCs w:val="20"/>
        </w:rPr>
        <w:t xml:space="preserve"> passe a ser inferior a taxa utilizada no cálculo atuarial, o plano de benefício se tornará insolvente, comprometendo o pagamento </w:t>
      </w:r>
      <w:r w:rsidR="00537C0C" w:rsidRPr="0020177F">
        <w:rPr>
          <w:bCs/>
          <w:szCs w:val="20"/>
        </w:rPr>
        <w:t>futuro dos benefícios</w:t>
      </w:r>
      <w:r w:rsidR="00D03623" w:rsidRPr="0020177F">
        <w:rPr>
          <w:bCs/>
          <w:szCs w:val="20"/>
        </w:rPr>
        <w:t>.</w:t>
      </w:r>
    </w:p>
    <w:p w14:paraId="027917B8" w14:textId="1BC47B7D" w:rsidR="00DA21DB" w:rsidRPr="0020177F" w:rsidRDefault="00DA21DB" w:rsidP="00B62B8E">
      <w:pPr>
        <w:rPr>
          <w:bCs/>
          <w:szCs w:val="20"/>
        </w:rPr>
      </w:pPr>
      <w:r w:rsidRPr="0020177F">
        <w:rPr>
          <w:bCs/>
          <w:szCs w:val="20"/>
        </w:rPr>
        <w:t>Considerando a exposição da carteira e seus investimentos</w:t>
      </w:r>
      <w:r w:rsidR="003267E0" w:rsidRPr="0020177F">
        <w:rPr>
          <w:bCs/>
          <w:szCs w:val="20"/>
        </w:rPr>
        <w:t xml:space="preserve">, </w:t>
      </w:r>
      <w:r w:rsidRPr="0020177F">
        <w:rPr>
          <w:bCs/>
          <w:szCs w:val="20"/>
        </w:rPr>
        <w:t>as projeções dos indicadores de desempenho dos retornos sobre esses mesmos investimentos</w:t>
      </w:r>
      <w:r w:rsidR="003267E0" w:rsidRPr="0020177F">
        <w:rPr>
          <w:bCs/>
          <w:szCs w:val="20"/>
        </w:rPr>
        <w:t>,</w:t>
      </w:r>
      <w:r w:rsidRPr="0020177F">
        <w:rPr>
          <w:bCs/>
          <w:szCs w:val="20"/>
        </w:rPr>
        <w:t xml:space="preserve"> o valor esperado da rentabilidade futura dos investimentos dos ativos garantidores do</w:t>
      </w:r>
      <w:r w:rsidR="0020177F">
        <w:rPr>
          <w:bCs/>
          <w:szCs w:val="20"/>
        </w:rPr>
        <w:t xml:space="preserve"> </w:t>
      </w:r>
      <w:r w:rsidR="00287991">
        <w:rPr>
          <w:b/>
          <w:bCs/>
          <w:color w:val="000000" w:themeColor="text1"/>
          <w:szCs w:val="20"/>
        </w:rPr>
        <w:t>MUNICÍ</w:t>
      </w:r>
      <w:r w:rsidR="00287991" w:rsidRPr="006053F5">
        <w:rPr>
          <w:b/>
          <w:bCs/>
          <w:color w:val="000000" w:themeColor="text1"/>
          <w:szCs w:val="20"/>
        </w:rPr>
        <w:t>PIO</w:t>
      </w:r>
      <w:r w:rsidR="00287991" w:rsidRPr="00716D43">
        <w:rPr>
          <w:b/>
          <w:color w:val="000000" w:themeColor="text1"/>
        </w:rPr>
        <w:t xml:space="preserve"> </w:t>
      </w:r>
      <w:r w:rsidR="00716D43" w:rsidRPr="00716D43">
        <w:rPr>
          <w:b/>
          <w:color w:val="000000" w:themeColor="text1"/>
        </w:rPr>
        <w:t>DE GUARACI</w:t>
      </w:r>
      <w:r w:rsidRPr="0020177F">
        <w:rPr>
          <w:bCs/>
          <w:szCs w:val="20"/>
        </w:rPr>
        <w:t>, conhecida como META DE RENTABILIDADE é de</w:t>
      </w:r>
      <w:r w:rsidRPr="0020177F">
        <w:rPr>
          <w:bCs/>
          <w:color w:val="70AD47" w:themeColor="accent6"/>
          <w:szCs w:val="20"/>
        </w:rPr>
        <w:t xml:space="preserve"> </w:t>
      </w:r>
      <w:r w:rsidR="00617855" w:rsidRPr="002A154C">
        <w:rPr>
          <w:b/>
          <w:color w:val="000000" w:themeColor="text1"/>
          <w:szCs w:val="20"/>
        </w:rPr>
        <w:t>(IPCA/INPC)</w:t>
      </w:r>
      <w:r w:rsidR="00265547" w:rsidRPr="002A154C">
        <w:rPr>
          <w:b/>
          <w:color w:val="000000" w:themeColor="text1"/>
          <w:szCs w:val="20"/>
        </w:rPr>
        <w:t xml:space="preserve"> </w:t>
      </w:r>
      <w:r w:rsidRPr="002A154C">
        <w:rPr>
          <w:b/>
          <w:color w:val="000000" w:themeColor="text1"/>
          <w:szCs w:val="20"/>
        </w:rPr>
        <w:t>+</w:t>
      </w:r>
      <w:r w:rsidR="00C86686" w:rsidRPr="002A154C">
        <w:rPr>
          <w:b/>
          <w:color w:val="000000" w:themeColor="text1"/>
          <w:szCs w:val="20"/>
        </w:rPr>
        <w:t xml:space="preserve"> </w:t>
      </w:r>
      <w:r w:rsidR="002A154C" w:rsidRPr="002A154C">
        <w:rPr>
          <w:b/>
          <w:color w:val="000000" w:themeColor="text1"/>
          <w:szCs w:val="20"/>
        </w:rPr>
        <w:t>5,04</w:t>
      </w:r>
      <w:r w:rsidRPr="002A154C">
        <w:rPr>
          <w:b/>
          <w:bCs/>
          <w:color w:val="000000" w:themeColor="text1"/>
          <w:szCs w:val="20"/>
        </w:rPr>
        <w:t>% (</w:t>
      </w:r>
      <w:r w:rsidR="002A154C" w:rsidRPr="002A154C">
        <w:rPr>
          <w:b/>
          <w:bCs/>
          <w:color w:val="000000" w:themeColor="text1"/>
          <w:szCs w:val="20"/>
        </w:rPr>
        <w:t>cinco virgula quatro</w:t>
      </w:r>
      <w:r w:rsidRPr="002A154C">
        <w:rPr>
          <w:b/>
          <w:bCs/>
          <w:color w:val="000000" w:themeColor="text1"/>
          <w:szCs w:val="20"/>
        </w:rPr>
        <w:t xml:space="preserve"> por cen</w:t>
      </w:r>
      <w:r w:rsidR="004664B8" w:rsidRPr="002A154C">
        <w:rPr>
          <w:b/>
          <w:bCs/>
          <w:color w:val="000000" w:themeColor="text1"/>
          <w:szCs w:val="20"/>
        </w:rPr>
        <w:t>to)</w:t>
      </w:r>
      <w:r w:rsidRPr="002A154C">
        <w:rPr>
          <w:b/>
          <w:bCs/>
          <w:color w:val="000000" w:themeColor="text1"/>
          <w:szCs w:val="20"/>
        </w:rPr>
        <w:t>.</w:t>
      </w:r>
    </w:p>
    <w:p w14:paraId="32BA4324" w14:textId="3ED3EF8C" w:rsidR="006B0FB7" w:rsidRPr="0020177F" w:rsidRDefault="0058722D" w:rsidP="00B62B8E">
      <w:pPr>
        <w:rPr>
          <w:bCs/>
          <w:szCs w:val="20"/>
        </w:rPr>
      </w:pPr>
      <w:r>
        <w:rPr>
          <w:bCs/>
          <w:szCs w:val="20"/>
        </w:rPr>
        <w:t xml:space="preserve">Ainda assim, </w:t>
      </w:r>
      <w:r w:rsidR="006B0FB7" w:rsidRPr="0020177F">
        <w:rPr>
          <w:bCs/>
          <w:szCs w:val="20"/>
        </w:rPr>
        <w:t>o</w:t>
      </w:r>
      <w:r w:rsidR="00F7185A" w:rsidRPr="0020177F">
        <w:rPr>
          <w:bCs/>
          <w:szCs w:val="20"/>
        </w:rPr>
        <w:t xml:space="preserve"> </w:t>
      </w:r>
      <w:r w:rsidR="00287991">
        <w:rPr>
          <w:b/>
          <w:bCs/>
          <w:color w:val="000000" w:themeColor="text1"/>
          <w:szCs w:val="20"/>
        </w:rPr>
        <w:t>MUNICÍ</w:t>
      </w:r>
      <w:r w:rsidR="00287991" w:rsidRPr="006053F5">
        <w:rPr>
          <w:b/>
          <w:bCs/>
          <w:color w:val="000000" w:themeColor="text1"/>
          <w:szCs w:val="20"/>
        </w:rPr>
        <w:t>PIO</w:t>
      </w:r>
      <w:r w:rsidR="00287991" w:rsidRPr="00716D43">
        <w:rPr>
          <w:b/>
          <w:color w:val="000000" w:themeColor="text1"/>
        </w:rPr>
        <w:t xml:space="preserve"> </w:t>
      </w:r>
      <w:r w:rsidRPr="00716D43">
        <w:rPr>
          <w:b/>
          <w:color w:val="000000" w:themeColor="text1"/>
        </w:rPr>
        <w:t>DE GUARACI</w:t>
      </w:r>
      <w:r w:rsidR="00F7185A" w:rsidRPr="0020177F">
        <w:rPr>
          <w:bCs/>
          <w:szCs w:val="20"/>
        </w:rPr>
        <w:t xml:space="preserve"> </w:t>
      </w:r>
      <w:r w:rsidR="00164773" w:rsidRPr="0020177F">
        <w:rPr>
          <w:bCs/>
          <w:szCs w:val="20"/>
        </w:rPr>
        <w:t xml:space="preserve">no exercício de sua </w:t>
      </w:r>
      <w:r w:rsidR="006B0FB7" w:rsidRPr="0020177F">
        <w:rPr>
          <w:bCs/>
          <w:szCs w:val="20"/>
        </w:rPr>
        <w:t>execução</w:t>
      </w:r>
      <w:r w:rsidR="00164773" w:rsidRPr="0020177F">
        <w:rPr>
          <w:bCs/>
          <w:szCs w:val="20"/>
        </w:rPr>
        <w:t>, através</w:t>
      </w:r>
      <w:r w:rsidR="006B0FB7" w:rsidRPr="0020177F">
        <w:rPr>
          <w:bCs/>
          <w:szCs w:val="20"/>
        </w:rPr>
        <w:t xml:space="preserve"> de estudos </w:t>
      </w:r>
      <w:r w:rsidR="00164773" w:rsidRPr="0020177F">
        <w:rPr>
          <w:bCs/>
          <w:szCs w:val="20"/>
        </w:rPr>
        <w:t>técnicos, promoverá o acompanhamento das duas taxas</w:t>
      </w:r>
      <w:r w:rsidR="002B12B6" w:rsidRPr="0020177F">
        <w:rPr>
          <w:bCs/>
          <w:szCs w:val="20"/>
        </w:rPr>
        <w:t xml:space="preserve"> (</w:t>
      </w:r>
      <w:r w:rsidR="001967A1" w:rsidRPr="0020177F">
        <w:rPr>
          <w:bCs/>
          <w:szCs w:val="20"/>
        </w:rPr>
        <w:t xml:space="preserve">meta de rentabilidade e taxa de </w:t>
      </w:r>
      <w:r w:rsidR="00DB7EEC" w:rsidRPr="0020177F">
        <w:rPr>
          <w:bCs/>
          <w:szCs w:val="20"/>
        </w:rPr>
        <w:t xml:space="preserve">desconto ou </w:t>
      </w:r>
      <w:r w:rsidR="00111D7F" w:rsidRPr="0020177F">
        <w:rPr>
          <w:bCs/>
          <w:szCs w:val="20"/>
        </w:rPr>
        <w:t>atuaria</w:t>
      </w:r>
      <w:r w:rsidR="002B12B6" w:rsidRPr="0020177F">
        <w:rPr>
          <w:bCs/>
          <w:szCs w:val="20"/>
        </w:rPr>
        <w:t xml:space="preserve">l) </w:t>
      </w:r>
      <w:r w:rsidR="00164773" w:rsidRPr="0020177F">
        <w:rPr>
          <w:bCs/>
          <w:szCs w:val="20"/>
        </w:rPr>
        <w:t xml:space="preserve">para </w:t>
      </w:r>
      <w:r w:rsidR="006B0FB7" w:rsidRPr="0020177F">
        <w:rPr>
          <w:bCs/>
          <w:szCs w:val="20"/>
        </w:rPr>
        <w:t xml:space="preserve">que </w:t>
      </w:r>
      <w:r w:rsidR="00164773" w:rsidRPr="0020177F">
        <w:rPr>
          <w:bCs/>
          <w:szCs w:val="20"/>
        </w:rPr>
        <w:t xml:space="preserve">seja </w:t>
      </w:r>
      <w:r w:rsidR="006B0FB7" w:rsidRPr="0020177F">
        <w:rPr>
          <w:bCs/>
          <w:szCs w:val="20"/>
        </w:rPr>
        <w:t>evidenc</w:t>
      </w:r>
      <w:r w:rsidR="00164773" w:rsidRPr="0020177F">
        <w:rPr>
          <w:bCs/>
          <w:szCs w:val="20"/>
        </w:rPr>
        <w:t>iado</w:t>
      </w:r>
      <w:r w:rsidR="006B0FB7" w:rsidRPr="0020177F">
        <w:rPr>
          <w:bCs/>
          <w:szCs w:val="20"/>
        </w:rPr>
        <w:t xml:space="preserve">, no longo prazo, qual </w:t>
      </w:r>
      <w:r w:rsidR="00BA077C" w:rsidRPr="0020177F">
        <w:rPr>
          <w:bCs/>
          <w:szCs w:val="20"/>
        </w:rPr>
        <w:t>proporcionava a melhor</w:t>
      </w:r>
      <w:r w:rsidR="009C66AE" w:rsidRPr="0020177F">
        <w:rPr>
          <w:bCs/>
          <w:szCs w:val="20"/>
        </w:rPr>
        <w:t xml:space="preserve"> </w:t>
      </w:r>
      <w:r w:rsidR="006B0FB7" w:rsidRPr="0020177F">
        <w:rPr>
          <w:bCs/>
          <w:szCs w:val="20"/>
        </w:rPr>
        <w:t>situação financeiro</w:t>
      </w:r>
      <w:r w:rsidR="00EE68A0" w:rsidRPr="0020177F">
        <w:rPr>
          <w:bCs/>
          <w:szCs w:val="20"/>
        </w:rPr>
        <w:t xml:space="preserve"> </w:t>
      </w:r>
      <w:r w:rsidR="006B0FB7" w:rsidRPr="0020177F">
        <w:rPr>
          <w:bCs/>
          <w:szCs w:val="20"/>
        </w:rPr>
        <w:t xml:space="preserve">atuarial </w:t>
      </w:r>
      <w:r w:rsidR="00BA077C" w:rsidRPr="0020177F">
        <w:rPr>
          <w:bCs/>
          <w:szCs w:val="20"/>
        </w:rPr>
        <w:t xml:space="preserve">para o </w:t>
      </w:r>
      <w:r w:rsidR="006B0FB7" w:rsidRPr="0020177F">
        <w:rPr>
          <w:bCs/>
          <w:szCs w:val="20"/>
        </w:rPr>
        <w:t>plano de benefícios previdenciários.</w:t>
      </w:r>
    </w:p>
    <w:p w14:paraId="20CA83A2" w14:textId="1633D2E2" w:rsidR="00CD5B56" w:rsidRDefault="00CD5B56" w:rsidP="00B62B8E">
      <w:pPr>
        <w:rPr>
          <w:bCs/>
          <w:szCs w:val="20"/>
        </w:rPr>
      </w:pPr>
      <w:r w:rsidRPr="0020177F">
        <w:rPr>
          <w:bCs/>
          <w:szCs w:val="20"/>
        </w:rPr>
        <w:t>Observada a necessidade de busca e manutenção do</w:t>
      </w:r>
      <w:r w:rsidRPr="00CD5B56">
        <w:rPr>
          <w:bCs/>
          <w:szCs w:val="20"/>
        </w:rPr>
        <w:t xml:space="preserve"> equilíbrio financeiro e atuarial do </w:t>
      </w:r>
      <w:r w:rsidR="00287991">
        <w:rPr>
          <w:b/>
          <w:bCs/>
          <w:color w:val="000000" w:themeColor="text1"/>
          <w:szCs w:val="20"/>
        </w:rPr>
        <w:t>MUNICÍ</w:t>
      </w:r>
      <w:r w:rsidR="00287991" w:rsidRPr="006053F5">
        <w:rPr>
          <w:b/>
          <w:bCs/>
          <w:color w:val="000000" w:themeColor="text1"/>
          <w:szCs w:val="20"/>
        </w:rPr>
        <w:t>PIO</w:t>
      </w:r>
      <w:r w:rsidR="00287991" w:rsidRPr="00716D43">
        <w:rPr>
          <w:b/>
          <w:color w:val="000000" w:themeColor="text1"/>
        </w:rPr>
        <w:t xml:space="preserve"> </w:t>
      </w:r>
      <w:r w:rsidR="0058722D" w:rsidRPr="00716D43">
        <w:rPr>
          <w:b/>
          <w:color w:val="000000" w:themeColor="text1"/>
        </w:rPr>
        <w:t>DE GUARACI</w:t>
      </w:r>
      <w:r w:rsidRPr="00CD5B56">
        <w:rPr>
          <w:bCs/>
          <w:szCs w:val="20"/>
        </w:rPr>
        <w:t xml:space="preserve">, a meta de rentabilidade </w:t>
      </w:r>
      <w:r w:rsidR="009F016F">
        <w:rPr>
          <w:bCs/>
          <w:szCs w:val="20"/>
        </w:rPr>
        <w:t xml:space="preserve">poderá </w:t>
      </w:r>
      <w:r w:rsidRPr="00CD5B56">
        <w:rPr>
          <w:bCs/>
          <w:szCs w:val="20"/>
        </w:rPr>
        <w:t xml:space="preserve">ser diferenciada </w:t>
      </w:r>
      <w:r w:rsidR="00B632BB">
        <w:rPr>
          <w:bCs/>
          <w:szCs w:val="20"/>
        </w:rPr>
        <w:t>por</w:t>
      </w:r>
      <w:r w:rsidRPr="00CD5B56">
        <w:rPr>
          <w:bCs/>
          <w:szCs w:val="20"/>
        </w:rPr>
        <w:t xml:space="preserve"> período</w:t>
      </w:r>
      <w:r w:rsidR="00B632BB">
        <w:rPr>
          <w:bCs/>
          <w:szCs w:val="20"/>
        </w:rPr>
        <w:t xml:space="preserve"> dentro do </w:t>
      </w:r>
      <w:r w:rsidR="009F016F">
        <w:rPr>
          <w:bCs/>
          <w:szCs w:val="20"/>
        </w:rPr>
        <w:t>exercício</w:t>
      </w:r>
      <w:r w:rsidR="005A1B2C">
        <w:rPr>
          <w:bCs/>
          <w:szCs w:val="20"/>
        </w:rPr>
        <w:t xml:space="preserve"> vigente</w:t>
      </w:r>
      <w:r w:rsidRPr="00CD5B56">
        <w:rPr>
          <w:bCs/>
          <w:szCs w:val="20"/>
        </w:rPr>
        <w:t xml:space="preserve">, prospectada pelo perfil </w:t>
      </w:r>
      <w:r w:rsidR="0058722D">
        <w:rPr>
          <w:bCs/>
          <w:szCs w:val="20"/>
        </w:rPr>
        <w:t>da carteira de investimentos do</w:t>
      </w:r>
      <w:r w:rsidR="0058722D" w:rsidRPr="0058722D">
        <w:rPr>
          <w:b/>
          <w:color w:val="000000" w:themeColor="text1"/>
        </w:rPr>
        <w:t xml:space="preserve"> </w:t>
      </w:r>
      <w:r w:rsidR="00287991">
        <w:rPr>
          <w:b/>
          <w:bCs/>
          <w:color w:val="000000" w:themeColor="text1"/>
          <w:szCs w:val="20"/>
        </w:rPr>
        <w:t>MUNICÍ</w:t>
      </w:r>
      <w:r w:rsidR="00287991" w:rsidRPr="006053F5">
        <w:rPr>
          <w:b/>
          <w:bCs/>
          <w:color w:val="000000" w:themeColor="text1"/>
          <w:szCs w:val="20"/>
        </w:rPr>
        <w:t>PIO</w:t>
      </w:r>
      <w:r w:rsidR="00287991" w:rsidRPr="00716D43">
        <w:rPr>
          <w:b/>
          <w:color w:val="000000" w:themeColor="text1"/>
        </w:rPr>
        <w:t xml:space="preserve"> </w:t>
      </w:r>
      <w:r w:rsidR="0058722D" w:rsidRPr="00716D43">
        <w:rPr>
          <w:b/>
          <w:color w:val="000000" w:themeColor="text1"/>
        </w:rPr>
        <w:t>DE GUARACI</w:t>
      </w:r>
      <w:r w:rsidR="0058722D" w:rsidRPr="00CD5B56">
        <w:rPr>
          <w:bCs/>
          <w:szCs w:val="20"/>
        </w:rPr>
        <w:t xml:space="preserve"> </w:t>
      </w:r>
      <w:r w:rsidRPr="00CD5B56">
        <w:rPr>
          <w:bCs/>
          <w:szCs w:val="20"/>
        </w:rPr>
        <w:t>e pelo cenário macroeconômico e financeiro;</w:t>
      </w:r>
    </w:p>
    <w:p w14:paraId="2EAE940C" w14:textId="77777777" w:rsidR="008815C6" w:rsidRPr="00516AB2" w:rsidRDefault="008815C6">
      <w:pPr>
        <w:rPr>
          <w:bCs/>
          <w:szCs w:val="20"/>
        </w:rPr>
      </w:pPr>
      <w:r w:rsidRPr="00516AB2">
        <w:rPr>
          <w:bCs/>
          <w:szCs w:val="20"/>
        </w:rPr>
        <w:br w:type="page"/>
      </w:r>
    </w:p>
    <w:p w14:paraId="4870BF41" w14:textId="53B3D2F1" w:rsidR="009430A1" w:rsidRDefault="004A2E49" w:rsidP="00B62B8E">
      <w:pPr>
        <w:pStyle w:val="Ttulo1"/>
        <w:spacing w:before="360"/>
      </w:pPr>
      <w:bookmarkStart w:id="32" w:name="_Toc118105137"/>
      <w:bookmarkStart w:id="33" w:name="_Toc435202738"/>
      <w:bookmarkStart w:id="34" w:name="_Toc490036540"/>
      <w:bookmarkStart w:id="35" w:name="_Toc435202750"/>
      <w:bookmarkStart w:id="36" w:name="_Toc490036556"/>
      <w:r>
        <w:lastRenderedPageBreak/>
        <w:t>CENÁRIO ECONÔMICO</w:t>
      </w:r>
      <w:bookmarkEnd w:id="32"/>
    </w:p>
    <w:p w14:paraId="234C9D73" w14:textId="77777777" w:rsidR="00681E32" w:rsidRDefault="00681E32" w:rsidP="006B0E7C"/>
    <w:p w14:paraId="4D41085D" w14:textId="251277CE" w:rsidR="00681E32" w:rsidRPr="00681E32" w:rsidRDefault="00681E32" w:rsidP="006B0E7C">
      <w:pPr>
        <w:rPr>
          <w:b/>
        </w:rPr>
      </w:pPr>
      <w:r w:rsidRPr="00681E32">
        <w:rPr>
          <w:b/>
        </w:rPr>
        <w:t>Internacional</w:t>
      </w:r>
    </w:p>
    <w:p w14:paraId="124E760B" w14:textId="77777777" w:rsidR="006B0E7C" w:rsidRDefault="006B0E7C" w:rsidP="006B0E7C">
      <w:r>
        <w:t xml:space="preserve">De acordo com o Departamento do Trabalho, o Índice de Preços ao Consumidor (CPI) dos EUA avançou 0,1% em agosto em comparação com o mês anterior. Já o núcleo de inflação, que exclui os preços de energia e alimento, subiu 0,6% no mês e está acima do esperado. Como resultado, a inflação avançou 8,3% na comparação anual. </w:t>
      </w:r>
    </w:p>
    <w:p w14:paraId="67133A18" w14:textId="77777777" w:rsidR="006B0E7C" w:rsidRDefault="006B0E7C" w:rsidP="006B0E7C">
      <w:r>
        <w:t xml:space="preserve">Na China, as exportações aumentaram 7,1% em agosto em comparação com o mesmo período de 2021, estando bem abaixo das expectativas que eram de 12,8%. Já as importações cresceram somente 0,3% no mês devido à baixa demanda doméstica. Com isso, o </w:t>
      </w:r>
      <w:r w:rsidRPr="00810896">
        <w:t xml:space="preserve">superávit comercial </w:t>
      </w:r>
      <w:r>
        <w:t xml:space="preserve">do país é </w:t>
      </w:r>
      <w:r w:rsidRPr="00810896">
        <w:t>de US$ 79,39 bilhões</w:t>
      </w:r>
      <w:r>
        <w:t>.</w:t>
      </w:r>
    </w:p>
    <w:p w14:paraId="67A88A1A" w14:textId="77777777" w:rsidR="006B0E7C" w:rsidRDefault="006B0E7C" w:rsidP="006B0E7C">
      <w:r>
        <w:t>O índice de preços ao consumidor chinês (IPC) cresceu 2,5% em agosto em consequência da alta no preço dos alimentos, transportes e serviços. Já o</w:t>
      </w:r>
      <w:r w:rsidRPr="004A6EF1">
        <w:t xml:space="preserve"> índice de preços ao produtor ficou em 2,3% </w:t>
      </w:r>
      <w:r>
        <w:t xml:space="preserve">no mês </w:t>
      </w:r>
      <w:r w:rsidRPr="004A6EF1">
        <w:t xml:space="preserve">em relação ao mesmo período </w:t>
      </w:r>
      <w:r>
        <w:t>de 2021.</w:t>
      </w:r>
    </w:p>
    <w:p w14:paraId="47C6EA0D" w14:textId="77777777" w:rsidR="006B0E7C" w:rsidRDefault="006B0E7C" w:rsidP="006B0E7C">
      <w:r>
        <w:t xml:space="preserve">Na Zona Euro, a inflação ao consumidor (CPI) atingiu máxima histórica ao apresentar alta de 9,1% em agosto. Com isso, há aumento da pressão para que haja elevação da taxa de juros. </w:t>
      </w:r>
    </w:p>
    <w:p w14:paraId="350DD010" w14:textId="77777777" w:rsidR="006B0E7C" w:rsidRDefault="006B0E7C" w:rsidP="006B0E7C">
      <w:r>
        <w:t>A Ucrânia anunciou contraofensiva no sul do país, a fim de recuperar as cidades ocupadas pela Rússia. Para isso, foram lançados foguetes em ocupações russas.</w:t>
      </w:r>
    </w:p>
    <w:p w14:paraId="6DF3B965" w14:textId="77777777" w:rsidR="006B0E7C" w:rsidRPr="003D0FC5" w:rsidRDefault="006B0E7C" w:rsidP="006B0E7C">
      <w:r>
        <w:t xml:space="preserve">A China anunciou redução nas taxas de empréstimos de 1 e 5 anos, a fim de estimular a economia do país. </w:t>
      </w:r>
    </w:p>
    <w:p w14:paraId="3A1C51C0" w14:textId="77777777" w:rsidR="006B0E7C" w:rsidRDefault="006B0E7C" w:rsidP="006B0E7C">
      <w:r>
        <w:t>A Alemanha impôs uma pequena taxa sobre o gás natural, com o principal objetivo de conter a demanda e fortalecer as finanças de um setor que foi devastado pelo corte no fornecimento de gás russo.</w:t>
      </w:r>
    </w:p>
    <w:p w14:paraId="6B79088A" w14:textId="77777777" w:rsidR="006B0E7C" w:rsidRDefault="006B0E7C" w:rsidP="006B0E7C">
      <w:r>
        <w:t>Os EUA criaram cerca de 315 mil vagas de trabalho fora do setor agrícola em agosto, entretanto a taxa de desemprego cresceu para 3,7% no mês.</w:t>
      </w:r>
    </w:p>
    <w:p w14:paraId="1D499583" w14:textId="77777777" w:rsidR="006B0E7C" w:rsidRDefault="006B0E7C" w:rsidP="006B0E7C">
      <w:r>
        <w:t>De acordo com os dados divulgados pelo Federal Reserve, a produção industrial recuou 0,2% em agosto, estando abaixo das projeções realizadas.</w:t>
      </w:r>
    </w:p>
    <w:p w14:paraId="2AF99457" w14:textId="77777777" w:rsidR="006B0E7C" w:rsidRDefault="006B0E7C" w:rsidP="006B0E7C">
      <w:r w:rsidRPr="00D835A7">
        <w:t xml:space="preserve">O Dow Jones recuou </w:t>
      </w:r>
      <w:r>
        <w:t>4,06</w:t>
      </w:r>
      <w:r w:rsidRPr="00D835A7">
        <w:t xml:space="preserve">%, o S&amp;P 500 caiu </w:t>
      </w:r>
      <w:r>
        <w:t>4,24</w:t>
      </w:r>
      <w:r w:rsidRPr="00D835A7">
        <w:t>%</w:t>
      </w:r>
      <w:r>
        <w:t>,</w:t>
      </w:r>
      <w:r w:rsidRPr="00D835A7">
        <w:t xml:space="preserve"> o Nasdaq</w:t>
      </w:r>
      <w:r>
        <w:t xml:space="preserve"> </w:t>
      </w:r>
      <w:r w:rsidRPr="00D835A7">
        <w:t xml:space="preserve">desvalorizou </w:t>
      </w:r>
      <w:r>
        <w:t>4,67</w:t>
      </w:r>
      <w:r w:rsidRPr="00D835A7">
        <w:t>%</w:t>
      </w:r>
      <w:r>
        <w:t xml:space="preserve">, o </w:t>
      </w:r>
      <w:r w:rsidRPr="00D835A7">
        <w:t>FTSE 100</w:t>
      </w:r>
      <w:r>
        <w:t xml:space="preserve"> (Londres) recuou 1,88% e </w:t>
      </w:r>
      <w:proofErr w:type="spellStart"/>
      <w:r>
        <w:t>Dax</w:t>
      </w:r>
      <w:proofErr w:type="spellEnd"/>
      <w:r>
        <w:t xml:space="preserve"> (Alemanha) caiu 4,81% no mês</w:t>
      </w:r>
      <w:r w:rsidRPr="00D835A7">
        <w:t>.</w:t>
      </w:r>
    </w:p>
    <w:p w14:paraId="43BC879A" w14:textId="77777777" w:rsidR="006B0E7C" w:rsidRDefault="006B0E7C" w:rsidP="006B0E7C">
      <w:r w:rsidRPr="00AC3194">
        <w:t xml:space="preserve">A Arábia Saudita informou que caso os preços do petróleo continuem a cair, reduzirá a produção do produto entre os países da Opep. Como </w:t>
      </w:r>
      <w:r>
        <w:t>isso</w:t>
      </w:r>
      <w:r w:rsidRPr="00AC3194">
        <w:t>, os preços do barril de petróleo sofreram elevação.</w:t>
      </w:r>
    </w:p>
    <w:p w14:paraId="32AAE90D" w14:textId="3202FCA9" w:rsidR="006B0E7C" w:rsidRPr="00681E32" w:rsidRDefault="00681E32" w:rsidP="006B0E7C">
      <w:pPr>
        <w:rPr>
          <w:b/>
        </w:rPr>
      </w:pPr>
      <w:r w:rsidRPr="00681E32">
        <w:rPr>
          <w:b/>
        </w:rPr>
        <w:t>Nacional</w:t>
      </w:r>
    </w:p>
    <w:p w14:paraId="3BA20EE1" w14:textId="77777777" w:rsidR="00681E32" w:rsidRDefault="00681E32" w:rsidP="00681E32">
      <w:r>
        <w:t>O Ibovespa encerrou agosto com alta acumulada de 6,16%. Como resultado, o índice acumula alta de 4,48% no ano.</w:t>
      </w:r>
    </w:p>
    <w:p w14:paraId="53219AEA" w14:textId="77777777" w:rsidR="00681E32" w:rsidRDefault="00681E32" w:rsidP="00681E32">
      <w:r>
        <w:t>A alta foi reflexo dos dados de deflação em julho e da divulgação da ata do Copom, onde não houve comprometimento do Comitê em realizar novas elevações da taxa Selic em 2022.</w:t>
      </w:r>
    </w:p>
    <w:p w14:paraId="61BB63D9" w14:textId="737EAD0D" w:rsidR="006B0E7C" w:rsidRDefault="00681E32" w:rsidP="00681E32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5DC1C674" wp14:editId="6DE73E5C">
            <wp:extent cx="4619625" cy="368418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6105" cy="368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030AD" w14:textId="77777777" w:rsidR="00681E32" w:rsidRDefault="00681E32" w:rsidP="00681E32">
      <w:pPr>
        <w:jc w:val="center"/>
      </w:pPr>
    </w:p>
    <w:p w14:paraId="76916E23" w14:textId="77777777" w:rsidR="00681E32" w:rsidRDefault="00681E32" w:rsidP="00681E32">
      <w:r>
        <w:t>De acordo com o IBGE, o IPCA-15 (prévia da inflação) apresentou deflação em agosto de -0,73%, estando um pouco acima do esperado.</w:t>
      </w:r>
    </w:p>
    <w:p w14:paraId="443B3451" w14:textId="77777777" w:rsidR="00681E32" w:rsidRDefault="00681E32" w:rsidP="00681E32">
      <w:r>
        <w:t>Segundo a FGV, o IGP-M caiu 0,70% em agosto influenciado pel</w:t>
      </w:r>
      <w:r w:rsidRPr="005A6DCC">
        <w:t>a redução do ICMS e dos preços na refinaria</w:t>
      </w:r>
      <w:r>
        <w:t>. Como resultado, o índice acumula alta de 7,63% no ano e alta de 8,59% em 12 meses.</w:t>
      </w:r>
    </w:p>
    <w:p w14:paraId="2E52EE27" w14:textId="77777777" w:rsidR="00681E32" w:rsidRDefault="00681E32" w:rsidP="00681E32">
      <w:r>
        <w:t xml:space="preserve">Foi divulgado que a arrecadação federal de julho atingiu mais de R$ 202 bilhões, sendo o melhor resultado para o mês desde o início da série histórica, retratando a retomada do mercado de trabalho. </w:t>
      </w:r>
    </w:p>
    <w:p w14:paraId="694A356A" w14:textId="77777777" w:rsidR="00681E32" w:rsidRPr="009E7C34" w:rsidRDefault="00681E32" w:rsidP="00681E32">
      <w:r>
        <w:t xml:space="preserve">O ministro da Economia, Paulo Guedes, defendeu o fim do Imposto sobre Produtos Industrializados (IPI), após dizer que tal recolhimento desestimula os investimentos em produtos, o que consequentemente contribui para a </w:t>
      </w:r>
      <w:r w:rsidRPr="009E7C34">
        <w:t xml:space="preserve">desindustrialização brasileira. </w:t>
      </w:r>
    </w:p>
    <w:p w14:paraId="5EF014A6" w14:textId="0FC7A5C3" w:rsidR="00681E32" w:rsidRDefault="00681E32" w:rsidP="00681E32">
      <w:r w:rsidRPr="009E7C34">
        <w:t xml:space="preserve">Houve redução de 1,6% na produção de petróleo em agosto ao </w:t>
      </w:r>
      <w:r w:rsidR="00134066" w:rsidRPr="009E7C34">
        <w:t>compará-la</w:t>
      </w:r>
      <w:r w:rsidRPr="009E7C34">
        <w:t xml:space="preserve"> com o mês anterior e redução de 2,9% em comparação com o mesmo mês de 2021.</w:t>
      </w:r>
    </w:p>
    <w:p w14:paraId="3B5508C9" w14:textId="77777777" w:rsidR="00681E32" w:rsidRDefault="00681E32" w:rsidP="00681E32">
      <w:r>
        <w:t>Foi divulgado os resultados da produção industrial de julho, a qual apresentou queda de 0,4% em comparação com o mês anterior e está abaixo do esperado.</w:t>
      </w:r>
    </w:p>
    <w:p w14:paraId="483ED0C0" w14:textId="77777777" w:rsidR="00681E32" w:rsidRPr="009E7C34" w:rsidRDefault="00681E32" w:rsidP="00681E32">
      <w:r>
        <w:t xml:space="preserve">O Comitê de Política Monetária (Copom), elevou a taxa Selic em 0,5% na reunião realizada no início de agosto. Com isso, a taxa acumula 13,75% ao </w:t>
      </w:r>
      <w:r w:rsidRPr="009E7C34">
        <w:t>ano.</w:t>
      </w:r>
    </w:p>
    <w:p w14:paraId="2CDB2566" w14:textId="2F4BB172" w:rsidR="00681E32" w:rsidRDefault="00681E32" w:rsidP="00681E32">
      <w:r w:rsidRPr="009E7C34">
        <w:t xml:space="preserve">O dólar apresentou valorização em agosto, após </w:t>
      </w:r>
      <w:r w:rsidR="00934185" w:rsidRPr="009E7C34">
        <w:t>encerrá-lo</w:t>
      </w:r>
      <w:r w:rsidRPr="009E7C34">
        <w:t xml:space="preserve"> com alta de 0,51%. Entretanto, a moeda norte-americana possui queda de 6,71% frente ao real em</w:t>
      </w:r>
      <w:r>
        <w:t xml:space="preserve"> 2022.</w:t>
      </w:r>
    </w:p>
    <w:p w14:paraId="3E872922" w14:textId="505C5FA9" w:rsidR="00681E32" w:rsidRDefault="00681E32" w:rsidP="00681E32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02CEC66B" wp14:editId="519EA4A7">
            <wp:extent cx="4533900" cy="3633411"/>
            <wp:effectExtent l="0" t="0" r="0" b="571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8521" cy="363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91C65" w14:textId="47246380" w:rsidR="00681E32" w:rsidRPr="00681E32" w:rsidRDefault="00681E32" w:rsidP="00681E32">
      <w:pPr>
        <w:rPr>
          <w:b/>
        </w:rPr>
      </w:pPr>
      <w:r w:rsidRPr="00681E32">
        <w:rPr>
          <w:b/>
        </w:rPr>
        <w:t xml:space="preserve">Atividade, Emprego e Renda </w:t>
      </w:r>
    </w:p>
    <w:p w14:paraId="4E952742" w14:textId="77777777" w:rsidR="00681E32" w:rsidRDefault="00681E32" w:rsidP="00681E32">
      <w:r>
        <w:t xml:space="preserve">De acordo com o IBGE, a taxa de desemprego recuou para 9,1% no trimestre encerrado em julho, sendo o menor </w:t>
      </w:r>
      <w:r w:rsidRPr="00042F4A">
        <w:t>índice da série desde o trimestre encerrado em dezembro de 2015</w:t>
      </w:r>
      <w:r>
        <w:t>. Entretanto, a falta de emprego ainda atinge 9,9 milhões de pessoas, sendo o menor nível desde o trimestre encerrado em janeiro de 2016.</w:t>
      </w:r>
    </w:p>
    <w:p w14:paraId="5A0A0CAD" w14:textId="0D1561F7" w:rsidR="00681E32" w:rsidRDefault="00681E32" w:rsidP="00681E32">
      <w:pPr>
        <w:jc w:val="center"/>
      </w:pPr>
      <w:r>
        <w:rPr>
          <w:noProof/>
          <w:lang w:eastAsia="pt-BR"/>
        </w:rPr>
        <w:drawing>
          <wp:inline distT="0" distB="0" distL="0" distR="0" wp14:anchorId="085BEF0A" wp14:editId="49EE0FD9">
            <wp:extent cx="4772025" cy="3579019"/>
            <wp:effectExtent l="0" t="0" r="0" b="254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79925" cy="358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CEDC1" w14:textId="77777777" w:rsidR="00681E32" w:rsidRDefault="00681E32" w:rsidP="00681E32">
      <w:r>
        <w:lastRenderedPageBreak/>
        <w:t>A população ocupada foi de 98,7 milhões, o maior nível da série histórica que foi iniciada em 2012. Já o número de trabalhadores informais corresponde a 39,8% da população ocupada.</w:t>
      </w:r>
    </w:p>
    <w:p w14:paraId="64C9C626" w14:textId="77777777" w:rsidR="00681E32" w:rsidRDefault="00681E32" w:rsidP="00681E32">
      <w:r>
        <w:t xml:space="preserve">O rendimento médio real do trabalhador foi 2,9% maior do que o registrado no trimestre anterior, sendo o maior terceiro aumento seguido. </w:t>
      </w:r>
    </w:p>
    <w:p w14:paraId="2BC3931F" w14:textId="3C559F25" w:rsidR="00681E32" w:rsidRDefault="00681E32" w:rsidP="00681E32">
      <w:pPr>
        <w:rPr>
          <w:b/>
        </w:rPr>
      </w:pPr>
      <w:r w:rsidRPr="00681E32">
        <w:rPr>
          <w:b/>
        </w:rPr>
        <w:t>Setor Público</w:t>
      </w:r>
    </w:p>
    <w:p w14:paraId="35AC8CAE" w14:textId="77777777" w:rsidR="00681E32" w:rsidRPr="00C376AE" w:rsidRDefault="00681E32" w:rsidP="00681E32">
      <w:pPr>
        <w:pStyle w:val="content-textcontainer"/>
        <w:shd w:val="clear" w:color="auto" w:fill="FFFFFF"/>
        <w:spacing w:before="0" w:beforeAutospacing="0" w:after="0" w:afterAutospacing="0"/>
        <w:jc w:val="both"/>
        <w:rPr>
          <w:rFonts w:ascii="Gentona Light" w:eastAsiaTheme="minorHAnsi" w:hAnsi="Gentona Light" w:cstheme="minorBidi"/>
          <w:color w:val="0D0E0E"/>
          <w:szCs w:val="22"/>
          <w:lang w:eastAsia="en-US"/>
        </w:rPr>
      </w:pPr>
      <w:r w:rsidRPr="00C376AE">
        <w:rPr>
          <w:rFonts w:ascii="Gentona Light" w:eastAsiaTheme="minorHAnsi" w:hAnsi="Gentona Light" w:cstheme="minorBidi"/>
          <w:color w:val="0D0E0E"/>
          <w:szCs w:val="22"/>
          <w:lang w:eastAsia="en-US"/>
        </w:rPr>
        <w:t xml:space="preserve">A Secretaria de Comércio Exterior do Ministério da Economia informou, a balança comercial brasileira registrou superávit de US$ 4,2 bilhões em agosto. Entretanto, o resultado é de queda se comparado com o mês anterior. </w:t>
      </w:r>
    </w:p>
    <w:p w14:paraId="3BC7262F" w14:textId="77777777" w:rsidR="00681E32" w:rsidRDefault="00681E32" w:rsidP="00681E32">
      <w:pPr>
        <w:rPr>
          <w:b/>
        </w:rPr>
      </w:pPr>
    </w:p>
    <w:p w14:paraId="379DC89A" w14:textId="3C64A119" w:rsidR="00681E32" w:rsidRDefault="00681E32" w:rsidP="00681E32">
      <w:pPr>
        <w:rPr>
          <w:b/>
        </w:rPr>
      </w:pPr>
      <w:r>
        <w:rPr>
          <w:noProof/>
          <w:lang w:eastAsia="pt-BR"/>
        </w:rPr>
        <w:drawing>
          <wp:inline distT="0" distB="0" distL="0" distR="0" wp14:anchorId="7B8510AC" wp14:editId="3ADD9976">
            <wp:extent cx="5000625" cy="3887412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01717" cy="3888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50AD3" w14:textId="77777777" w:rsidR="00681E32" w:rsidRDefault="00681E32" w:rsidP="00681E32">
      <w:pPr>
        <w:rPr>
          <w:b/>
        </w:rPr>
      </w:pPr>
    </w:p>
    <w:p w14:paraId="22843930" w14:textId="77777777" w:rsidR="00681E32" w:rsidRDefault="00681E32" w:rsidP="00681E32">
      <w:r>
        <w:t xml:space="preserve">Em agosto, as exportações totalizaram US$ 30,840 bilhões e as importações, US$ 26,675 bilhões. No acumulado do ano, </w:t>
      </w:r>
      <w:r w:rsidRPr="004C47F9">
        <w:t xml:space="preserve">a balança comercial </w:t>
      </w:r>
      <w:r>
        <w:t>tem</w:t>
      </w:r>
      <w:r w:rsidRPr="004C47F9">
        <w:t xml:space="preserve"> saldo positivo de US$ 44,1 bilhões</w:t>
      </w:r>
      <w:r>
        <w:t>.</w:t>
      </w:r>
    </w:p>
    <w:p w14:paraId="4592A647" w14:textId="77777777" w:rsidR="00681E32" w:rsidRDefault="00681E32" w:rsidP="00681E32">
      <w:r>
        <w:t xml:space="preserve">Tanto as exportações, quanto as importações bateram recordes de valor no mês. Quanto as exportações, </w:t>
      </w:r>
      <w:r w:rsidRPr="00416183">
        <w:t>o resultado deve-se ao aumento dos embarques</w:t>
      </w:r>
      <w:r>
        <w:t xml:space="preserve">. Já a quantidade de produtos comprados subiu 14,9%, além do aumento dos preços.  </w:t>
      </w:r>
    </w:p>
    <w:p w14:paraId="2994415A" w14:textId="1C9077EA" w:rsidR="00681E32" w:rsidRDefault="00681E32" w:rsidP="00681E32">
      <w:pPr>
        <w:rPr>
          <w:b/>
        </w:rPr>
      </w:pPr>
      <w:r>
        <w:rPr>
          <w:b/>
        </w:rPr>
        <w:t>Inflação</w:t>
      </w:r>
    </w:p>
    <w:p w14:paraId="6D551D3A" w14:textId="77777777" w:rsidR="00681E32" w:rsidRDefault="00681E32" w:rsidP="00681E32">
      <w:r w:rsidRPr="00BE137A">
        <w:t>O Índice Nacional de Preços ao Consumidor Amplo (IPCA) caiu 0,36% em agosto na comparação com</w:t>
      </w:r>
      <w:r>
        <w:t xml:space="preserve"> mês anterior, sendo a segunda deflação seguida e está em linha com o esperado pelo mercado. Com isso, o índice acumula alta de 4,39% no ano e alta de 8,73% em 12 meses.</w:t>
      </w:r>
    </w:p>
    <w:p w14:paraId="754F3660" w14:textId="77777777" w:rsidR="00681E32" w:rsidRPr="009E7C34" w:rsidRDefault="00681E32" w:rsidP="00681E32">
      <w:pPr>
        <w:spacing w:before="240"/>
      </w:pPr>
      <w:r>
        <w:lastRenderedPageBreak/>
        <w:t xml:space="preserve">A queda foi impulsionada pela redução nos preços dos combustíveis, após redução da cobrança do </w:t>
      </w:r>
      <w:r w:rsidRPr="009E7C34">
        <w:t>ICMS. Além disso, houve redução dos transportes (-3,37%) e do grupo de comunicação (-1,10%).</w:t>
      </w:r>
    </w:p>
    <w:p w14:paraId="7AE5E7E6" w14:textId="2717006E" w:rsidR="00681E32" w:rsidRDefault="00681E32" w:rsidP="00681E32">
      <w:pPr>
        <w:spacing w:before="240"/>
      </w:pPr>
      <w:r w:rsidRPr="009E7C34">
        <w:t>Por outro lado, o vestuário apresentou aumento (1,69</w:t>
      </w:r>
      <w:r w:rsidR="00D12E1A" w:rsidRPr="009E7C34">
        <w:t>%</w:t>
      </w:r>
      <w:r w:rsidRPr="009E7C34">
        <w:t>), saúde e cuidados pessoais também apresent</w:t>
      </w:r>
      <w:r w:rsidR="00506CA7" w:rsidRPr="009E7C34">
        <w:t>aram</w:t>
      </w:r>
      <w:r w:rsidRPr="009E7C34">
        <w:t xml:space="preserve"> variação positiva de 1,31</w:t>
      </w:r>
      <w:r w:rsidR="00D12E1A" w:rsidRPr="009E7C34">
        <w:t>%</w:t>
      </w:r>
      <w:r w:rsidRPr="009E7C34">
        <w:t>.</w:t>
      </w:r>
    </w:p>
    <w:p w14:paraId="57240995" w14:textId="4B824A23" w:rsidR="00681E32" w:rsidRPr="00681E32" w:rsidRDefault="00681E32" w:rsidP="00681E32">
      <w:pPr>
        <w:jc w:val="center"/>
        <w:rPr>
          <w:b/>
        </w:rPr>
      </w:pPr>
      <w:r>
        <w:rPr>
          <w:noProof/>
          <w:lang w:eastAsia="pt-BR"/>
        </w:rPr>
        <w:drawing>
          <wp:inline distT="0" distB="0" distL="0" distR="0" wp14:anchorId="6062FB87" wp14:editId="17E9CACE">
            <wp:extent cx="4572000" cy="3476849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04253" cy="3501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2E108" w14:textId="77777777" w:rsidR="00681E32" w:rsidRDefault="00681E32" w:rsidP="00681E32">
      <w:pPr>
        <w:jc w:val="center"/>
      </w:pPr>
    </w:p>
    <w:p w14:paraId="62DCEE6C" w14:textId="77777777" w:rsidR="00681E32" w:rsidRDefault="00681E32" w:rsidP="00681E32">
      <w:r>
        <w:t xml:space="preserve">O </w:t>
      </w:r>
      <w:r w:rsidRPr="000E3CEF">
        <w:t>Índice Nacional de Preços ao Consumidor (INPC)</w:t>
      </w:r>
      <w:r>
        <w:t xml:space="preserve"> apresentou queda de 0,31% no mês, com destaque na redução de 3,24% no grupo de transportes. Como resultado, o índice acumula alta de 4,65% no ano e alta de 8,82% em 12 meses.</w:t>
      </w:r>
    </w:p>
    <w:p w14:paraId="084339C5" w14:textId="02348E98" w:rsidR="00681E32" w:rsidRDefault="00681E32" w:rsidP="00681E32">
      <w:pPr>
        <w:jc w:val="center"/>
      </w:pPr>
      <w:r>
        <w:rPr>
          <w:noProof/>
          <w:lang w:eastAsia="pt-BR"/>
        </w:rPr>
        <w:drawing>
          <wp:inline distT="0" distB="0" distL="0" distR="0" wp14:anchorId="354F0E5F" wp14:editId="34E73259">
            <wp:extent cx="4848225" cy="2581275"/>
            <wp:effectExtent l="0" t="0" r="9525" b="9525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60BDD69" w14:textId="77777777" w:rsidR="00681E32" w:rsidRDefault="00681E32" w:rsidP="00681E32">
      <w:pPr>
        <w:jc w:val="center"/>
      </w:pPr>
    </w:p>
    <w:p w14:paraId="068BA3B1" w14:textId="4DE3D7D9" w:rsidR="00681E32" w:rsidRDefault="00681E32" w:rsidP="00681E32">
      <w:pPr>
        <w:jc w:val="left"/>
        <w:rPr>
          <w:b/>
        </w:rPr>
      </w:pPr>
      <w:r w:rsidRPr="00681E32">
        <w:rPr>
          <w:b/>
        </w:rPr>
        <w:lastRenderedPageBreak/>
        <w:t>Conclusão</w:t>
      </w:r>
    </w:p>
    <w:p w14:paraId="7C6E3614" w14:textId="77777777" w:rsidR="00681E32" w:rsidRDefault="00681E32" w:rsidP="00681E32">
      <w:r>
        <w:t xml:space="preserve">Conforme exposto acima, observamos que o mês de agosto foi positivo para o Brasil, tendo em vista que a bolsa de valores e o IPCA apresentaram resultados favoráveis. Com isso, notamos que as medidas implementadas pelo governo e Banco Central estão sendo efetivas. </w:t>
      </w:r>
    </w:p>
    <w:p w14:paraId="2B1D8677" w14:textId="77777777" w:rsidR="00681E32" w:rsidRDefault="00681E32" w:rsidP="00681E32">
      <w:r>
        <w:t>Já o setor externo continuou apresentando volatilidade e incertezas para os próximos períodos, tendo em vista os resultados de queda de produção industrial e de queda das bolsas.</w:t>
      </w:r>
    </w:p>
    <w:p w14:paraId="26BC5DF8" w14:textId="6E4057CD" w:rsidR="00681E32" w:rsidRDefault="00681E32" w:rsidP="00681E32">
      <w:r>
        <w:t xml:space="preserve">Os investidores continuam preocupados quanto </w:t>
      </w:r>
      <w:r w:rsidR="00EB096B" w:rsidRPr="009E7C34">
        <w:t>a</w:t>
      </w:r>
      <w:r w:rsidRPr="009E7C34">
        <w:t>os</w:t>
      </w:r>
      <w:r>
        <w:t xml:space="preserve"> resultados que mostram uma desaceleração do crescimento econômico global, ocasionado pela alta inflação e constantes elevações das taxas básicas de juros.</w:t>
      </w:r>
    </w:p>
    <w:p w14:paraId="38DC7480" w14:textId="77777777" w:rsidR="00681E32" w:rsidRDefault="00681E32" w:rsidP="00681E32">
      <w:pPr>
        <w:jc w:val="left"/>
        <w:rPr>
          <w:b/>
        </w:rPr>
      </w:pPr>
    </w:p>
    <w:p w14:paraId="236DCBA9" w14:textId="3458A0D2" w:rsidR="00681E32" w:rsidRDefault="00681E32" w:rsidP="00681E32">
      <w:pPr>
        <w:jc w:val="left"/>
        <w:rPr>
          <w:b/>
        </w:rPr>
      </w:pPr>
      <w:r>
        <w:rPr>
          <w:b/>
        </w:rPr>
        <w:t>Perspectivas</w:t>
      </w:r>
    </w:p>
    <w:p w14:paraId="3A026617" w14:textId="77777777" w:rsidR="00681E32" w:rsidRPr="00F00EE2" w:rsidRDefault="00681E32" w:rsidP="00681E32">
      <w:pPr>
        <w:rPr>
          <w:b/>
          <w:bCs/>
        </w:rPr>
      </w:pPr>
      <w:r>
        <w:t xml:space="preserve">As perspectivas de novas altas dos juros nos EUA fazem com que muitos investidores estrangeiros deixem o Brasil para que obtenham melhores rentabilidades no país norte-americano. Com isso, há uma maior probabilidade de que a cotação do dólar se eleve nos próximos períodos, além disso, há a indicação de que poderá ter uma recessão global. </w:t>
      </w:r>
    </w:p>
    <w:p w14:paraId="09135D32" w14:textId="77777777" w:rsidR="00681E32" w:rsidRDefault="00681E32" w:rsidP="00681E32">
      <w:r>
        <w:t>As perspectivas são de que as principais economias continuem subindo as taxas básicas de juros para conter os avanços da inflação. Já o Brasil, a expectativa é de que o ciclo de alta da taxa esteja próximo do fim.</w:t>
      </w:r>
    </w:p>
    <w:p w14:paraId="46EAFCAA" w14:textId="77777777" w:rsidR="00681E32" w:rsidRDefault="00681E32" w:rsidP="00681E32">
      <w:r>
        <w:t xml:space="preserve">Para os últimos meses de 2022, o Brasil passará por grande volatilidade com as eleições presidenciais se aproximando. </w:t>
      </w:r>
    </w:p>
    <w:p w14:paraId="2415BEC9" w14:textId="77777777" w:rsidR="00681E32" w:rsidRDefault="00681E32" w:rsidP="00C362B4"/>
    <w:p w14:paraId="2C7897C3" w14:textId="741BBA63" w:rsidR="00587C03" w:rsidRDefault="00587C03">
      <w:pPr>
        <w:pStyle w:val="Ttulo2"/>
      </w:pPr>
      <w:bookmarkStart w:id="37" w:name="_Toc118105138"/>
      <w:r>
        <w:t>EXPECTATIVAS DE MERCADO</w:t>
      </w:r>
      <w:bookmarkEnd w:id="37"/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134"/>
        <w:gridCol w:w="1276"/>
      </w:tblGrid>
      <w:tr w:rsidR="008847BC" w:rsidRPr="00F30D58" w14:paraId="7BEEC4F4" w14:textId="77777777" w:rsidTr="005C4C53">
        <w:trPr>
          <w:trHeight w:val="315"/>
          <w:jc w:val="center"/>
        </w:trPr>
        <w:tc>
          <w:tcPr>
            <w:tcW w:w="2977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noWrap/>
            <w:vAlign w:val="center"/>
            <w:hideMark/>
          </w:tcPr>
          <w:p w14:paraId="55981181" w14:textId="77777777" w:rsidR="008847BC" w:rsidRPr="00F30D58" w:rsidRDefault="008847BC" w:rsidP="005C4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808080"/>
                <w:sz w:val="14"/>
                <w:szCs w:val="24"/>
                <w:lang w:eastAsia="pt-BR"/>
              </w:rPr>
            </w:pPr>
            <w:r w:rsidRPr="00F30D58">
              <w:rPr>
                <w:rFonts w:ascii="Calibri" w:eastAsia="Times New Roman" w:hAnsi="Calibri" w:cs="Times New Roman"/>
                <w:b/>
                <w:bCs/>
                <w:color w:val="808080"/>
                <w:sz w:val="14"/>
                <w:szCs w:val="24"/>
                <w:lang w:eastAsia="pt-BR"/>
              </w:rPr>
              <w:t>Índices (Mediana Agregado)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noWrap/>
            <w:vAlign w:val="center"/>
            <w:hideMark/>
          </w:tcPr>
          <w:p w14:paraId="45E46418" w14:textId="3FCEFB06" w:rsidR="008847BC" w:rsidRPr="00C362B4" w:rsidRDefault="00C362B4" w:rsidP="005C4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808080"/>
                <w:sz w:val="14"/>
                <w:szCs w:val="24"/>
                <w:lang w:eastAsia="pt-BR"/>
              </w:rPr>
            </w:pPr>
            <w:r w:rsidRPr="00C362B4">
              <w:rPr>
                <w:rFonts w:ascii="Calibri" w:eastAsia="Times New Roman" w:hAnsi="Calibri" w:cs="Times New Roman"/>
                <w:b/>
                <w:bCs/>
                <w:color w:val="808080"/>
                <w:sz w:val="14"/>
                <w:szCs w:val="24"/>
                <w:lang w:eastAsia="pt-BR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noWrap/>
            <w:vAlign w:val="center"/>
            <w:hideMark/>
          </w:tcPr>
          <w:p w14:paraId="65E0CB93" w14:textId="2807FCDC" w:rsidR="008847BC" w:rsidRPr="00F30D58" w:rsidRDefault="008847BC" w:rsidP="00C36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808080"/>
                <w:sz w:val="14"/>
                <w:szCs w:val="24"/>
                <w:lang w:eastAsia="pt-BR"/>
              </w:rPr>
            </w:pPr>
            <w:r w:rsidRPr="00F30D58">
              <w:rPr>
                <w:rFonts w:ascii="Calibri" w:eastAsia="Times New Roman" w:hAnsi="Calibri" w:cs="Times New Roman"/>
                <w:b/>
                <w:bCs/>
                <w:color w:val="808080"/>
                <w:sz w:val="14"/>
                <w:szCs w:val="24"/>
                <w:lang w:eastAsia="pt-BR"/>
              </w:rPr>
              <w:t>202</w:t>
            </w:r>
            <w:r w:rsidR="00C362B4">
              <w:rPr>
                <w:rFonts w:ascii="Calibri" w:eastAsia="Times New Roman" w:hAnsi="Calibri" w:cs="Times New Roman"/>
                <w:b/>
                <w:bCs/>
                <w:color w:val="808080"/>
                <w:sz w:val="14"/>
                <w:szCs w:val="24"/>
                <w:lang w:eastAsia="pt-BR"/>
              </w:rPr>
              <w:t>4</w:t>
            </w:r>
          </w:p>
        </w:tc>
      </w:tr>
      <w:tr w:rsidR="008847BC" w:rsidRPr="00F30D58" w14:paraId="773A4E1F" w14:textId="77777777" w:rsidTr="005C4C53">
        <w:trPr>
          <w:trHeight w:val="30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center"/>
            <w:hideMark/>
          </w:tcPr>
          <w:p w14:paraId="1206BCD4" w14:textId="77777777" w:rsidR="008847BC" w:rsidRPr="00F30D58" w:rsidRDefault="008847BC" w:rsidP="005C4C53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808080"/>
                <w:sz w:val="14"/>
                <w:lang w:eastAsia="pt-BR"/>
              </w:rPr>
            </w:pPr>
            <w:r w:rsidRPr="00F30D58">
              <w:rPr>
                <w:rFonts w:ascii="Calibri" w:eastAsia="Times New Roman" w:hAnsi="Calibri" w:cs="Times New Roman"/>
                <w:color w:val="808080"/>
                <w:sz w:val="14"/>
                <w:lang w:eastAsia="pt-BR"/>
              </w:rPr>
              <w:t>IPCA (%)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center"/>
          </w:tcPr>
          <w:p w14:paraId="2786D1FB" w14:textId="1D2361AB" w:rsidR="008847BC" w:rsidRPr="00C362B4" w:rsidRDefault="00C362B4" w:rsidP="005C4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sz w:val="14"/>
                <w:lang w:eastAsia="pt-BR"/>
              </w:rPr>
            </w:pPr>
            <w:r w:rsidRPr="00C362B4">
              <w:rPr>
                <w:rFonts w:ascii="Calibri" w:eastAsia="Times New Roman" w:hAnsi="Calibri" w:cs="Times New Roman"/>
                <w:color w:val="808080"/>
                <w:sz w:val="14"/>
                <w:lang w:eastAsia="pt-BR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center"/>
          </w:tcPr>
          <w:p w14:paraId="7A32502A" w14:textId="06A9508D" w:rsidR="008847BC" w:rsidRPr="00F30D58" w:rsidRDefault="00C362B4" w:rsidP="005C4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sz w:val="1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808080"/>
                <w:sz w:val="14"/>
                <w:lang w:eastAsia="pt-BR"/>
              </w:rPr>
              <w:t>3,47</w:t>
            </w:r>
          </w:p>
        </w:tc>
      </w:tr>
      <w:tr w:rsidR="008847BC" w:rsidRPr="00F30D58" w14:paraId="143A0AA9" w14:textId="77777777" w:rsidTr="005C4C53">
        <w:trPr>
          <w:trHeight w:val="30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center"/>
            <w:hideMark/>
          </w:tcPr>
          <w:p w14:paraId="6C93EB78" w14:textId="77777777" w:rsidR="008847BC" w:rsidRPr="00F30D58" w:rsidRDefault="008847BC" w:rsidP="005C4C53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808080"/>
                <w:sz w:val="14"/>
                <w:lang w:eastAsia="pt-BR"/>
              </w:rPr>
            </w:pPr>
            <w:r w:rsidRPr="00F30D58">
              <w:rPr>
                <w:rFonts w:ascii="Calibri" w:eastAsia="Times New Roman" w:hAnsi="Calibri" w:cs="Times New Roman"/>
                <w:color w:val="808080"/>
                <w:sz w:val="14"/>
                <w:lang w:eastAsia="pt-BR"/>
              </w:rPr>
              <w:t>IGP-M (%)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center"/>
          </w:tcPr>
          <w:p w14:paraId="01BD558E" w14:textId="457655EE" w:rsidR="008847BC" w:rsidRPr="00C362B4" w:rsidRDefault="00C362B4" w:rsidP="005C4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sz w:val="14"/>
                <w:lang w:eastAsia="pt-BR"/>
              </w:rPr>
            </w:pPr>
            <w:r w:rsidRPr="00C362B4">
              <w:rPr>
                <w:rFonts w:ascii="Calibri" w:eastAsia="Times New Roman" w:hAnsi="Calibri" w:cs="Times New Roman"/>
                <w:color w:val="808080"/>
                <w:sz w:val="14"/>
                <w:lang w:eastAsia="pt-BR"/>
              </w:rPr>
              <w:t>4,59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center"/>
          </w:tcPr>
          <w:p w14:paraId="5787EA72" w14:textId="77777777" w:rsidR="008847BC" w:rsidRPr="00F30D58" w:rsidRDefault="008847BC" w:rsidP="005C4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sz w:val="1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808080"/>
                <w:sz w:val="14"/>
                <w:lang w:eastAsia="pt-BR"/>
              </w:rPr>
              <w:t>4,00</w:t>
            </w:r>
          </w:p>
        </w:tc>
      </w:tr>
      <w:tr w:rsidR="008847BC" w:rsidRPr="00F30D58" w14:paraId="0FD4CC1B" w14:textId="77777777" w:rsidTr="005C4C53">
        <w:trPr>
          <w:trHeight w:val="30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7A773" w14:textId="77777777" w:rsidR="008847BC" w:rsidRPr="00F30D58" w:rsidRDefault="008847BC" w:rsidP="005C4C53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808080"/>
                <w:sz w:val="14"/>
                <w:lang w:eastAsia="pt-BR"/>
              </w:rPr>
            </w:pPr>
            <w:r w:rsidRPr="00F30D58">
              <w:rPr>
                <w:rFonts w:ascii="Calibri" w:eastAsia="Times New Roman" w:hAnsi="Calibri" w:cs="Times New Roman"/>
                <w:color w:val="808080"/>
                <w:sz w:val="14"/>
                <w:lang w:eastAsia="pt-BR"/>
              </w:rPr>
              <w:t>Taxa de Câmbio (R$/US$)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FA724" w14:textId="1BA3A054" w:rsidR="008847BC" w:rsidRPr="00C362B4" w:rsidRDefault="00C362B4" w:rsidP="005C4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sz w:val="14"/>
                <w:lang w:eastAsia="pt-BR"/>
              </w:rPr>
            </w:pPr>
            <w:r w:rsidRPr="00C362B4">
              <w:rPr>
                <w:rFonts w:ascii="Calibri" w:eastAsia="Times New Roman" w:hAnsi="Calibri" w:cs="Times New Roman"/>
                <w:color w:val="808080"/>
                <w:sz w:val="14"/>
                <w:lang w:eastAsia="pt-BR"/>
              </w:rPr>
              <w:t>5,20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BEB0C" w14:textId="16101898" w:rsidR="008847BC" w:rsidRPr="00F30D58" w:rsidRDefault="00C362B4" w:rsidP="005C4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sz w:val="1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808080"/>
                <w:sz w:val="14"/>
                <w:lang w:eastAsia="pt-BR"/>
              </w:rPr>
              <w:t>5,11</w:t>
            </w:r>
          </w:p>
        </w:tc>
      </w:tr>
      <w:tr w:rsidR="008847BC" w:rsidRPr="00F30D58" w14:paraId="2EB0D12F" w14:textId="77777777" w:rsidTr="005C4C53">
        <w:trPr>
          <w:trHeight w:val="30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center"/>
            <w:hideMark/>
          </w:tcPr>
          <w:p w14:paraId="71A6E9BE" w14:textId="77777777" w:rsidR="008847BC" w:rsidRPr="00F30D58" w:rsidRDefault="008847BC" w:rsidP="005C4C53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808080"/>
                <w:sz w:val="14"/>
                <w:lang w:eastAsia="pt-BR"/>
              </w:rPr>
            </w:pPr>
            <w:r w:rsidRPr="00F30D58">
              <w:rPr>
                <w:rFonts w:ascii="Calibri" w:eastAsia="Times New Roman" w:hAnsi="Calibri" w:cs="Times New Roman"/>
                <w:color w:val="808080"/>
                <w:sz w:val="14"/>
                <w:lang w:eastAsia="pt-BR"/>
              </w:rPr>
              <w:t>Meta Taxa Selic (%a.a.)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center"/>
          </w:tcPr>
          <w:p w14:paraId="2B6223BC" w14:textId="57E363F0" w:rsidR="008847BC" w:rsidRPr="00C362B4" w:rsidRDefault="00C362B4" w:rsidP="005C4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sz w:val="14"/>
                <w:lang w:eastAsia="pt-BR"/>
              </w:rPr>
            </w:pPr>
            <w:r w:rsidRPr="00C362B4">
              <w:rPr>
                <w:rFonts w:ascii="Calibri" w:eastAsia="Times New Roman" w:hAnsi="Calibri" w:cs="Times New Roman"/>
                <w:color w:val="808080"/>
                <w:sz w:val="14"/>
                <w:lang w:eastAsia="pt-BR"/>
              </w:rPr>
              <w:t>11,25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center"/>
          </w:tcPr>
          <w:p w14:paraId="6F01AF59" w14:textId="613E62DC" w:rsidR="008847BC" w:rsidRPr="00F30D58" w:rsidRDefault="00C362B4" w:rsidP="005C4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sz w:val="1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808080"/>
                <w:sz w:val="14"/>
                <w:lang w:eastAsia="pt-BR"/>
              </w:rPr>
              <w:t>8,00</w:t>
            </w:r>
          </w:p>
        </w:tc>
      </w:tr>
      <w:tr w:rsidR="008847BC" w:rsidRPr="00F30D58" w14:paraId="56C04C07" w14:textId="77777777" w:rsidTr="005C4C53">
        <w:trPr>
          <w:trHeight w:val="30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5C89F" w14:textId="77777777" w:rsidR="008847BC" w:rsidRPr="00F30D58" w:rsidRDefault="008847BC" w:rsidP="005C4C53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808080"/>
                <w:sz w:val="14"/>
                <w:lang w:eastAsia="pt-BR"/>
              </w:rPr>
            </w:pPr>
            <w:r w:rsidRPr="00F30D58">
              <w:rPr>
                <w:rFonts w:ascii="Calibri" w:eastAsia="Times New Roman" w:hAnsi="Calibri" w:cs="Times New Roman"/>
                <w:color w:val="808080"/>
                <w:sz w:val="14"/>
                <w:lang w:eastAsia="pt-BR"/>
              </w:rPr>
              <w:t>Investimentos Direto no País (US$ bilhões)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E5FB8" w14:textId="50744F21" w:rsidR="008847BC" w:rsidRPr="00C362B4" w:rsidRDefault="00C362B4" w:rsidP="005C4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sz w:val="14"/>
                <w:lang w:eastAsia="pt-BR"/>
              </w:rPr>
            </w:pPr>
            <w:r w:rsidRPr="00C362B4">
              <w:rPr>
                <w:rFonts w:ascii="Calibri" w:eastAsia="Times New Roman" w:hAnsi="Calibri" w:cs="Times New Roman"/>
                <w:color w:val="808080"/>
                <w:sz w:val="14"/>
                <w:lang w:eastAsia="pt-BR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AD529" w14:textId="5CE65D2C" w:rsidR="008847BC" w:rsidRPr="00F30D58" w:rsidRDefault="00C362B4" w:rsidP="005C4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sz w:val="1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808080"/>
                <w:sz w:val="14"/>
                <w:lang w:eastAsia="pt-BR"/>
              </w:rPr>
              <w:t>70,00</w:t>
            </w:r>
          </w:p>
        </w:tc>
      </w:tr>
      <w:tr w:rsidR="008847BC" w:rsidRPr="00F30D58" w14:paraId="0029D924" w14:textId="77777777" w:rsidTr="005C4C53">
        <w:trPr>
          <w:trHeight w:val="30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center"/>
            <w:hideMark/>
          </w:tcPr>
          <w:p w14:paraId="2A3182FC" w14:textId="77777777" w:rsidR="008847BC" w:rsidRPr="00F30D58" w:rsidRDefault="008847BC" w:rsidP="005C4C53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808080"/>
                <w:sz w:val="14"/>
                <w:lang w:eastAsia="pt-BR"/>
              </w:rPr>
            </w:pPr>
            <w:r w:rsidRPr="00F30D58">
              <w:rPr>
                <w:rFonts w:ascii="Calibri" w:eastAsia="Times New Roman" w:hAnsi="Calibri" w:cs="Times New Roman"/>
                <w:color w:val="808080"/>
                <w:sz w:val="14"/>
                <w:lang w:eastAsia="pt-BR"/>
              </w:rPr>
              <w:t>Dívida Líquida do Setor Público (% do PIB)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center"/>
          </w:tcPr>
          <w:p w14:paraId="487ABA3D" w14:textId="3AEF1DCC" w:rsidR="008847BC" w:rsidRPr="00C362B4" w:rsidRDefault="00C362B4" w:rsidP="005C4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sz w:val="14"/>
                <w:lang w:eastAsia="pt-BR"/>
              </w:rPr>
            </w:pPr>
            <w:r w:rsidRPr="00C362B4">
              <w:rPr>
                <w:rFonts w:ascii="Calibri" w:eastAsia="Times New Roman" w:hAnsi="Calibri" w:cs="Times New Roman"/>
                <w:color w:val="808080"/>
                <w:sz w:val="14"/>
                <w:lang w:eastAsia="pt-BR"/>
              </w:rPr>
              <w:t>58,40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center"/>
          </w:tcPr>
          <w:p w14:paraId="274794F2" w14:textId="28956473" w:rsidR="008847BC" w:rsidRPr="00F30D58" w:rsidRDefault="00C362B4" w:rsidP="005C4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sz w:val="1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808080"/>
                <w:sz w:val="14"/>
                <w:lang w:eastAsia="pt-BR"/>
              </w:rPr>
              <w:t>63,23</w:t>
            </w:r>
          </w:p>
        </w:tc>
      </w:tr>
      <w:tr w:rsidR="008847BC" w:rsidRPr="00F30D58" w14:paraId="54E16C00" w14:textId="77777777" w:rsidTr="005C4C53">
        <w:trPr>
          <w:trHeight w:val="30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BE9A8" w14:textId="77777777" w:rsidR="008847BC" w:rsidRPr="00F30D58" w:rsidRDefault="008847BC" w:rsidP="005C4C53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808080"/>
                <w:sz w:val="14"/>
                <w:lang w:eastAsia="pt-BR"/>
              </w:rPr>
            </w:pPr>
            <w:r w:rsidRPr="00F30D58">
              <w:rPr>
                <w:rFonts w:ascii="Calibri" w:eastAsia="Times New Roman" w:hAnsi="Calibri" w:cs="Times New Roman"/>
                <w:color w:val="808080"/>
                <w:sz w:val="14"/>
                <w:lang w:eastAsia="pt-BR"/>
              </w:rPr>
              <w:t>PIB (% do crescimento)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FB8FD" w14:textId="6E46F162" w:rsidR="008847BC" w:rsidRPr="00C362B4" w:rsidRDefault="00C362B4" w:rsidP="005C4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sz w:val="14"/>
                <w:lang w:eastAsia="pt-BR"/>
              </w:rPr>
            </w:pPr>
            <w:r w:rsidRPr="00C362B4">
              <w:rPr>
                <w:rFonts w:ascii="Calibri" w:eastAsia="Times New Roman" w:hAnsi="Calibri" w:cs="Times New Roman"/>
                <w:color w:val="808080"/>
                <w:sz w:val="14"/>
                <w:lang w:eastAsia="pt-BR"/>
              </w:rPr>
              <w:t>0</w:t>
            </w:r>
            <w:r w:rsidR="008847BC" w:rsidRPr="00C362B4">
              <w:rPr>
                <w:rFonts w:ascii="Calibri" w:eastAsia="Times New Roman" w:hAnsi="Calibri" w:cs="Times New Roman"/>
                <w:color w:val="808080"/>
                <w:sz w:val="14"/>
                <w:lang w:eastAsia="pt-BR"/>
              </w:rPr>
              <w:t>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87370" w14:textId="3099A6A8" w:rsidR="008847BC" w:rsidRPr="00F30D58" w:rsidRDefault="00C362B4" w:rsidP="005C4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sz w:val="1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808080"/>
                <w:sz w:val="14"/>
                <w:lang w:eastAsia="pt-BR"/>
              </w:rPr>
              <w:t>1.70</w:t>
            </w:r>
          </w:p>
        </w:tc>
      </w:tr>
      <w:tr w:rsidR="008847BC" w:rsidRPr="00F30D58" w14:paraId="14EC8A2B" w14:textId="77777777" w:rsidTr="005C4C53">
        <w:trPr>
          <w:trHeight w:val="30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auto" w:fill="auto"/>
            <w:noWrap/>
            <w:vAlign w:val="center"/>
            <w:hideMark/>
          </w:tcPr>
          <w:p w14:paraId="66F90D72" w14:textId="77777777" w:rsidR="008847BC" w:rsidRPr="00F30D58" w:rsidRDefault="008847BC" w:rsidP="005C4C53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808080"/>
                <w:sz w:val="14"/>
                <w:lang w:eastAsia="pt-BR"/>
              </w:rPr>
            </w:pPr>
            <w:r w:rsidRPr="00F30D58">
              <w:rPr>
                <w:rFonts w:ascii="Calibri" w:eastAsia="Times New Roman" w:hAnsi="Calibri" w:cs="Times New Roman"/>
                <w:color w:val="808080"/>
                <w:sz w:val="14"/>
                <w:lang w:eastAsia="pt-BR"/>
              </w:rPr>
              <w:t>Balança comercial (US$ Bilhões)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auto" w:fill="auto"/>
            <w:noWrap/>
            <w:vAlign w:val="center"/>
          </w:tcPr>
          <w:p w14:paraId="7B85B942" w14:textId="1BD16681" w:rsidR="008847BC" w:rsidRPr="00C362B4" w:rsidRDefault="008847BC" w:rsidP="00C36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sz w:val="14"/>
                <w:lang w:eastAsia="pt-BR"/>
              </w:rPr>
            </w:pPr>
            <w:r w:rsidRPr="00C362B4">
              <w:rPr>
                <w:rFonts w:ascii="Calibri" w:eastAsia="Times New Roman" w:hAnsi="Calibri" w:cs="Times New Roman"/>
                <w:color w:val="808080"/>
                <w:sz w:val="14"/>
                <w:lang w:eastAsia="pt-BR"/>
              </w:rPr>
              <w:t>6</w:t>
            </w:r>
            <w:r w:rsidR="00C362B4" w:rsidRPr="00C362B4">
              <w:rPr>
                <w:rFonts w:ascii="Calibri" w:eastAsia="Times New Roman" w:hAnsi="Calibri" w:cs="Times New Roman"/>
                <w:color w:val="808080"/>
                <w:sz w:val="14"/>
                <w:lang w:eastAsia="pt-BR"/>
              </w:rPr>
              <w:t>0</w:t>
            </w:r>
            <w:r w:rsidRPr="00C362B4">
              <w:rPr>
                <w:rFonts w:ascii="Calibri" w:eastAsia="Times New Roman" w:hAnsi="Calibri" w:cs="Times New Roman"/>
                <w:color w:val="808080"/>
                <w:sz w:val="14"/>
                <w:lang w:eastAsia="pt-BR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auto" w:fill="auto"/>
            <w:noWrap/>
            <w:vAlign w:val="center"/>
          </w:tcPr>
          <w:p w14:paraId="542119ED" w14:textId="3FD4E297" w:rsidR="008847BC" w:rsidRPr="00F30D58" w:rsidRDefault="00C362B4" w:rsidP="00C36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sz w:val="1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808080"/>
                <w:sz w:val="14"/>
                <w:lang w:eastAsia="pt-BR"/>
              </w:rPr>
              <w:t>52</w:t>
            </w:r>
            <w:r w:rsidR="008847BC">
              <w:rPr>
                <w:rFonts w:ascii="Calibri" w:eastAsia="Times New Roman" w:hAnsi="Calibri" w:cs="Times New Roman"/>
                <w:color w:val="808080"/>
                <w:sz w:val="14"/>
                <w:lang w:eastAsia="pt-BR"/>
              </w:rPr>
              <w:t>,</w:t>
            </w:r>
            <w:r>
              <w:rPr>
                <w:rFonts w:ascii="Calibri" w:eastAsia="Times New Roman" w:hAnsi="Calibri" w:cs="Times New Roman"/>
                <w:color w:val="808080"/>
                <w:sz w:val="14"/>
                <w:lang w:eastAsia="pt-BR"/>
              </w:rPr>
              <w:t>70</w:t>
            </w:r>
          </w:p>
        </w:tc>
      </w:tr>
    </w:tbl>
    <w:p w14:paraId="4B92B1E6" w14:textId="6AF8ED9D" w:rsidR="005142C2" w:rsidRDefault="003C0A56" w:rsidP="00C362B4">
      <w:pPr>
        <w:ind w:left="708" w:firstLine="708"/>
      </w:pPr>
      <w:r>
        <w:rPr>
          <w:sz w:val="12"/>
        </w:rPr>
        <w:t xml:space="preserve">               </w:t>
      </w:r>
      <w:r w:rsidR="00C362B4" w:rsidRPr="00C362B4">
        <w:rPr>
          <w:sz w:val="12"/>
        </w:rPr>
        <w:t>https://www.bcb.gov.br/publicacoes/focus</w:t>
      </w:r>
      <w:r w:rsidR="005142C2">
        <w:br w:type="page"/>
      </w:r>
    </w:p>
    <w:p w14:paraId="13DADD0F" w14:textId="6A8A029A" w:rsidR="009E1812" w:rsidRPr="00516AB2" w:rsidRDefault="009E1812" w:rsidP="00B62B8E">
      <w:pPr>
        <w:pStyle w:val="Ttulo1"/>
        <w:spacing w:before="360"/>
      </w:pPr>
      <w:bookmarkStart w:id="38" w:name="_Toc118105139"/>
      <w:r w:rsidRPr="00516AB2">
        <w:lastRenderedPageBreak/>
        <w:t>ALOCAÇÃO ESTRATÉGICA DOS RECURSOS</w:t>
      </w:r>
      <w:bookmarkEnd w:id="38"/>
    </w:p>
    <w:p w14:paraId="4E5F3A47" w14:textId="785F8344" w:rsidR="009E1812" w:rsidRDefault="009E1812" w:rsidP="00B62B8E">
      <w:pPr>
        <w:rPr>
          <w:bCs/>
          <w:szCs w:val="20"/>
        </w:rPr>
      </w:pPr>
      <w:r w:rsidRPr="00516AB2">
        <w:rPr>
          <w:bCs/>
          <w:szCs w:val="20"/>
        </w:rPr>
        <w:t xml:space="preserve">Na aplicação dos recursos, os responsáveis pela gestão </w:t>
      </w:r>
      <w:r w:rsidR="00D669BE">
        <w:rPr>
          <w:bCs/>
          <w:szCs w:val="20"/>
        </w:rPr>
        <w:t xml:space="preserve">das aplicações dos recursos </w:t>
      </w:r>
      <w:r w:rsidRPr="00516AB2">
        <w:rPr>
          <w:bCs/>
          <w:szCs w:val="20"/>
        </w:rPr>
        <w:t xml:space="preserve">do </w:t>
      </w:r>
      <w:r w:rsidR="00287991">
        <w:rPr>
          <w:b/>
          <w:bCs/>
          <w:color w:val="000000" w:themeColor="text1"/>
          <w:szCs w:val="20"/>
        </w:rPr>
        <w:t>MUNICÍ</w:t>
      </w:r>
      <w:r w:rsidR="00287991" w:rsidRPr="006053F5">
        <w:rPr>
          <w:b/>
          <w:bCs/>
          <w:color w:val="000000" w:themeColor="text1"/>
          <w:szCs w:val="20"/>
        </w:rPr>
        <w:t>PIO</w:t>
      </w:r>
      <w:r w:rsidR="00287991" w:rsidRPr="00716D43">
        <w:rPr>
          <w:b/>
          <w:color w:val="000000" w:themeColor="text1"/>
        </w:rPr>
        <w:t xml:space="preserve"> </w:t>
      </w:r>
      <w:r w:rsidR="0058722D" w:rsidRPr="00716D43">
        <w:rPr>
          <w:b/>
          <w:color w:val="000000" w:themeColor="text1"/>
        </w:rPr>
        <w:t>DE GUARACI</w:t>
      </w:r>
      <w:r w:rsidR="0058722D" w:rsidRPr="00516AB2">
        <w:rPr>
          <w:bCs/>
          <w:szCs w:val="20"/>
        </w:rPr>
        <w:t xml:space="preserve"> </w:t>
      </w:r>
      <w:r w:rsidRPr="00516AB2">
        <w:rPr>
          <w:bCs/>
          <w:szCs w:val="20"/>
        </w:rPr>
        <w:t xml:space="preserve">devem observar os limites </w:t>
      </w:r>
      <w:r w:rsidR="00503251">
        <w:rPr>
          <w:bCs/>
          <w:szCs w:val="20"/>
        </w:rPr>
        <w:t xml:space="preserve">e critérios </w:t>
      </w:r>
      <w:r w:rsidRPr="00516AB2">
        <w:rPr>
          <w:bCs/>
          <w:szCs w:val="20"/>
        </w:rPr>
        <w:t xml:space="preserve">estabelecidos </w:t>
      </w:r>
      <w:r w:rsidR="00445B14">
        <w:rPr>
          <w:bCs/>
          <w:szCs w:val="20"/>
        </w:rPr>
        <w:t>nesta</w:t>
      </w:r>
      <w:r w:rsidRPr="00516AB2">
        <w:rPr>
          <w:bCs/>
          <w:szCs w:val="20"/>
        </w:rPr>
        <w:t xml:space="preserve"> Política de Investimentos</w:t>
      </w:r>
      <w:r w:rsidR="00445B14">
        <w:rPr>
          <w:bCs/>
          <w:szCs w:val="20"/>
        </w:rPr>
        <w:t>, na</w:t>
      </w:r>
      <w:r>
        <w:rPr>
          <w:bCs/>
          <w:szCs w:val="20"/>
        </w:rPr>
        <w:t xml:space="preserve"> Resolução CMN nº </w:t>
      </w:r>
      <w:r w:rsidR="00503251">
        <w:rPr>
          <w:bCs/>
          <w:szCs w:val="20"/>
        </w:rPr>
        <w:t>4.963/2021</w:t>
      </w:r>
      <w:r w:rsidR="00445B14">
        <w:rPr>
          <w:bCs/>
          <w:szCs w:val="20"/>
        </w:rPr>
        <w:t xml:space="preserve"> e qualquer outro ato normativo </w:t>
      </w:r>
      <w:r w:rsidR="003A43B5">
        <w:rPr>
          <w:bCs/>
          <w:szCs w:val="20"/>
        </w:rPr>
        <w:t xml:space="preserve">relacionado ao tema, </w:t>
      </w:r>
      <w:r w:rsidR="00445B14">
        <w:rPr>
          <w:bCs/>
          <w:szCs w:val="20"/>
        </w:rPr>
        <w:t xml:space="preserve">emitido pelos órgãos </w:t>
      </w:r>
      <w:r w:rsidR="00671132">
        <w:rPr>
          <w:bCs/>
          <w:szCs w:val="20"/>
        </w:rPr>
        <w:t xml:space="preserve">fiscalizadores e </w:t>
      </w:r>
      <w:proofErr w:type="spellStart"/>
      <w:r w:rsidR="00671132">
        <w:rPr>
          <w:bCs/>
          <w:szCs w:val="20"/>
        </w:rPr>
        <w:t>normatizadores</w:t>
      </w:r>
      <w:proofErr w:type="spellEnd"/>
      <w:r>
        <w:rPr>
          <w:bCs/>
          <w:szCs w:val="20"/>
        </w:rPr>
        <w:t>.</w:t>
      </w:r>
    </w:p>
    <w:p w14:paraId="5F093BB6" w14:textId="48677589" w:rsidR="001E52A8" w:rsidRDefault="009E1812" w:rsidP="00B62B8E">
      <w:pPr>
        <w:rPr>
          <w:bCs/>
          <w:szCs w:val="20"/>
        </w:rPr>
      </w:pPr>
      <w:r w:rsidRPr="00516AB2">
        <w:rPr>
          <w:bCs/>
          <w:szCs w:val="20"/>
        </w:rPr>
        <w:t xml:space="preserve">A estratégia de alocação </w:t>
      </w:r>
      <w:r w:rsidR="00FD1916">
        <w:rPr>
          <w:bCs/>
          <w:szCs w:val="20"/>
        </w:rPr>
        <w:t xml:space="preserve">dos recursos </w:t>
      </w:r>
      <w:r w:rsidRPr="00516AB2">
        <w:rPr>
          <w:bCs/>
          <w:szCs w:val="20"/>
        </w:rPr>
        <w:t>para os próximos cinco anos, leva em consideração não somente o cenário macroeconômico como também as especificidades da estratégia definida pelo resultado da análise do fluxo de caixa atuarial e as projeções futuras de déficit e/ou superávit.</w:t>
      </w:r>
    </w:p>
    <w:p w14:paraId="2FF9C00A" w14:textId="77777777" w:rsidR="00B52FD0" w:rsidRDefault="00B52FD0" w:rsidP="00B52FD0">
      <w:pPr>
        <w:spacing w:beforeLines="120" w:before="288" w:after="0" w:line="240" w:lineRule="auto"/>
        <w:jc w:val="center"/>
      </w:pPr>
      <w:r w:rsidRPr="00516AB2">
        <w:rPr>
          <w:b/>
          <w:bCs/>
          <w:szCs w:val="20"/>
        </w:rPr>
        <w:t xml:space="preserve">Alocação Estratégica para o exercício de </w:t>
      </w:r>
      <w:r>
        <w:rPr>
          <w:b/>
          <w:bCs/>
          <w:szCs w:val="20"/>
        </w:rPr>
        <w:t>2023</w:t>
      </w:r>
    </w:p>
    <w:p w14:paraId="1B4907CB" w14:textId="77777777" w:rsidR="00B52FD0" w:rsidRDefault="00B52FD0" w:rsidP="00B52FD0">
      <w:pPr>
        <w:spacing w:beforeLines="120" w:before="288" w:after="0" w:line="240" w:lineRule="auto"/>
        <w:jc w:val="center"/>
        <w:rPr>
          <w:b/>
          <w:bCs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"/>
        <w:gridCol w:w="3108"/>
        <w:gridCol w:w="1173"/>
        <w:gridCol w:w="278"/>
        <w:gridCol w:w="1040"/>
        <w:gridCol w:w="1154"/>
        <w:gridCol w:w="1096"/>
      </w:tblGrid>
      <w:tr w:rsidR="00B52FD0" w14:paraId="6B64B0C2" w14:textId="77777777" w:rsidTr="0095786C">
        <w:trPr>
          <w:trHeight w:val="793"/>
        </w:trPr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CA726" w14:textId="77777777" w:rsidR="00B52FD0" w:rsidRPr="00635227" w:rsidRDefault="00B52FD0" w:rsidP="0095786C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543AE" w14:textId="77777777" w:rsidR="00B52FD0" w:rsidRPr="00635227" w:rsidRDefault="00B52FD0" w:rsidP="0095786C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2531D" w14:textId="77777777" w:rsidR="00B52FD0" w:rsidRPr="00635227" w:rsidRDefault="00B52FD0" w:rsidP="0095786C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B3E66" w14:textId="77777777" w:rsidR="00B52FD0" w:rsidRPr="00635227" w:rsidRDefault="00B52FD0" w:rsidP="0095786C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32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5B81B" w14:textId="77777777" w:rsidR="00B52FD0" w:rsidRPr="00635227" w:rsidRDefault="00B52FD0" w:rsidP="0095786C">
            <w:pPr>
              <w:spacing w:before="60" w:after="60"/>
              <w:jc w:val="center"/>
            </w:pPr>
            <w:r w:rsidRPr="006352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Estratégia de Alocação - Política de Investimento de 202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52FD0" w14:paraId="18DF34E8" w14:textId="77777777" w:rsidTr="0095786C">
        <w:trPr>
          <w:trHeight w:val="646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DF139" w14:textId="77777777" w:rsidR="00B52FD0" w:rsidRPr="00635227" w:rsidRDefault="00B52FD0" w:rsidP="0095786C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Segmento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BDD2B" w14:textId="77777777" w:rsidR="00B52FD0" w:rsidRPr="00635227" w:rsidRDefault="00B52FD0" w:rsidP="0095786C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Tipo de Ativo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07CB6" w14:textId="77777777" w:rsidR="00B52FD0" w:rsidRPr="00635227" w:rsidRDefault="00B52FD0" w:rsidP="0095786C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Limite da Resolução CMN %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D0D89" w14:textId="77777777" w:rsidR="00B52FD0" w:rsidRPr="00635227" w:rsidRDefault="00B52FD0" w:rsidP="0095786C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D1C2F" w14:textId="77777777" w:rsidR="00B52FD0" w:rsidRPr="00635227" w:rsidRDefault="00B52FD0" w:rsidP="0095786C">
            <w:pPr>
              <w:spacing w:before="60" w:after="60"/>
              <w:jc w:val="center"/>
            </w:pPr>
            <w:r w:rsidRPr="006352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Limite Inferior (%)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F01A1" w14:textId="77777777" w:rsidR="00B52FD0" w:rsidRPr="00635227" w:rsidRDefault="00B52FD0" w:rsidP="0095786C">
            <w:pPr>
              <w:spacing w:before="60" w:after="60"/>
              <w:jc w:val="center"/>
            </w:pPr>
            <w:r w:rsidRPr="006352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Estratégia Alvo (%)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E4D10" w14:textId="77777777" w:rsidR="00B52FD0" w:rsidRPr="00635227" w:rsidRDefault="00B52FD0" w:rsidP="0095786C">
            <w:pPr>
              <w:spacing w:before="60" w:after="60"/>
              <w:jc w:val="center"/>
            </w:pPr>
            <w:r w:rsidRPr="006352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Limite Superior (%)</w:t>
            </w:r>
          </w:p>
        </w:tc>
      </w:tr>
      <w:tr w:rsidR="00F60874" w14:paraId="1696E3EF" w14:textId="77777777" w:rsidTr="0095786C">
        <w:trPr>
          <w:trHeight w:val="314"/>
        </w:trPr>
        <w:tc>
          <w:tcPr>
            <w:tcW w:w="12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D76CE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Renda Fixa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3A477" w14:textId="77777777" w:rsidR="00F60874" w:rsidRPr="00635227" w:rsidRDefault="00F60874" w:rsidP="00F60874">
            <w:pPr>
              <w:spacing w:after="0"/>
              <w:jc w:val="left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7º I a - Títulos do Tesouro Nacional SELIC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924BA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100,00%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2AF98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6FA4A" w14:textId="1D614312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CB8D5" w14:textId="15985463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20,32%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BACF4" w14:textId="223D6C46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81,95%</w:t>
            </w:r>
          </w:p>
        </w:tc>
      </w:tr>
      <w:tr w:rsidR="00F60874" w14:paraId="3068B4C0" w14:textId="77777777" w:rsidTr="0095786C">
        <w:trPr>
          <w:trHeight w:val="3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B312C1" w14:textId="77777777" w:rsidR="00F60874" w:rsidRPr="00635227" w:rsidRDefault="00F60874" w:rsidP="00F60874">
            <w:pPr>
              <w:spacing w:after="0" w:line="256" w:lineRule="auto"/>
              <w:jc w:val="left"/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3422B" w14:textId="77777777" w:rsidR="00F60874" w:rsidRPr="00635227" w:rsidRDefault="00F60874" w:rsidP="00F60874">
            <w:pPr>
              <w:spacing w:after="0"/>
              <w:jc w:val="left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7º I b - FI 100% Títulos TN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E2D1B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100,00%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55B91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6C621" w14:textId="37635BE5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20,49%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BD4F3" w14:textId="384290E3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20,32%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55CDF" w14:textId="322D266C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81,95%</w:t>
            </w:r>
          </w:p>
        </w:tc>
      </w:tr>
      <w:tr w:rsidR="00F60874" w14:paraId="09C29B04" w14:textId="77777777" w:rsidTr="0095786C">
        <w:trPr>
          <w:trHeight w:val="3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AE625" w14:textId="77777777" w:rsidR="00F60874" w:rsidRPr="00635227" w:rsidRDefault="00F60874" w:rsidP="00F60874">
            <w:pPr>
              <w:spacing w:after="0" w:line="256" w:lineRule="auto"/>
              <w:jc w:val="left"/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BDC5A" w14:textId="77777777" w:rsidR="00F60874" w:rsidRPr="00635227" w:rsidRDefault="00F60874" w:rsidP="00F60874">
            <w:pPr>
              <w:spacing w:after="0"/>
              <w:jc w:val="left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 xml:space="preserve">7º I c - FI </w:t>
            </w:r>
            <w:proofErr w:type="spellStart"/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Ref</w:t>
            </w:r>
            <w:proofErr w:type="spellEnd"/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 xml:space="preserve"> em Índice de RF, 100% TP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14A67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100,00%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025DD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95DF6" w14:textId="54E66E71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67592" w14:textId="3A7146E6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9154A" w14:textId="3CDF6F29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</w:tr>
      <w:tr w:rsidR="00F60874" w14:paraId="1D1F4914" w14:textId="77777777" w:rsidTr="0095786C">
        <w:trPr>
          <w:trHeight w:val="3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1A7D9" w14:textId="77777777" w:rsidR="00F60874" w:rsidRPr="00635227" w:rsidRDefault="00F60874" w:rsidP="00F60874">
            <w:pPr>
              <w:spacing w:after="0" w:line="256" w:lineRule="auto"/>
              <w:jc w:val="left"/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0D691" w14:textId="77777777" w:rsidR="00F60874" w:rsidRPr="00635227" w:rsidRDefault="00F60874" w:rsidP="00F60874">
            <w:pPr>
              <w:spacing w:after="0"/>
              <w:jc w:val="left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 xml:space="preserve">7º II - </w:t>
            </w:r>
            <w:proofErr w:type="spellStart"/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Oper</w:t>
            </w:r>
            <w:proofErr w:type="spellEnd"/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. compromissadas em TP TN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4755B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5,00%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7077E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721AC" w14:textId="52BA3B43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3A677" w14:textId="52063AB9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6120E" w14:textId="4578C1D7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</w:tr>
      <w:tr w:rsidR="00F60874" w14:paraId="7314F528" w14:textId="77777777" w:rsidTr="0095786C">
        <w:trPr>
          <w:trHeight w:val="3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433B43" w14:textId="77777777" w:rsidR="00F60874" w:rsidRPr="00635227" w:rsidRDefault="00F60874" w:rsidP="00F60874">
            <w:pPr>
              <w:spacing w:after="0" w:line="256" w:lineRule="auto"/>
              <w:jc w:val="left"/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55F9E" w14:textId="77777777" w:rsidR="00F60874" w:rsidRPr="00635227" w:rsidRDefault="00F60874" w:rsidP="00F60874">
            <w:pPr>
              <w:spacing w:after="0"/>
              <w:jc w:val="left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7º III a - FI RF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207EB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60,00%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67BD7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9CD28" w14:textId="5C90C984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20,89%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060A8" w14:textId="588B3992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23,61%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8E0CC" w14:textId="74BE518B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60,00%</w:t>
            </w:r>
          </w:p>
        </w:tc>
      </w:tr>
      <w:tr w:rsidR="00F60874" w14:paraId="4C693222" w14:textId="77777777" w:rsidTr="0095786C">
        <w:trPr>
          <w:trHeight w:val="3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0DF3E6" w14:textId="77777777" w:rsidR="00F60874" w:rsidRPr="00635227" w:rsidRDefault="00F60874" w:rsidP="00F60874">
            <w:pPr>
              <w:spacing w:after="0" w:line="256" w:lineRule="auto"/>
              <w:jc w:val="left"/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2757A" w14:textId="77777777" w:rsidR="00F60874" w:rsidRPr="00635227" w:rsidRDefault="00F60874" w:rsidP="00F60874">
            <w:pPr>
              <w:spacing w:after="0"/>
              <w:jc w:val="left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7º III b - FI de Índices RF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1A8A1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60,00%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F0420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E1F16" w14:textId="15F643D9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B5234" w14:textId="3B03C2BE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D6C1C" w14:textId="762DE495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</w:tr>
      <w:tr w:rsidR="00F60874" w14:paraId="35847BFE" w14:textId="77777777" w:rsidTr="0095786C">
        <w:trPr>
          <w:trHeight w:val="3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B51286" w14:textId="77777777" w:rsidR="00F60874" w:rsidRPr="00635227" w:rsidRDefault="00F60874" w:rsidP="00F60874">
            <w:pPr>
              <w:spacing w:after="0" w:line="256" w:lineRule="auto"/>
              <w:jc w:val="left"/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48629" w14:textId="77777777" w:rsidR="00F60874" w:rsidRPr="00635227" w:rsidRDefault="00F60874" w:rsidP="00F60874">
            <w:pPr>
              <w:spacing w:after="0"/>
              <w:jc w:val="left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7º IV - Renda Fixa de emissão bancária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B8086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20,00%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E8646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1ECFD" w14:textId="7BFCBF9F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DA3A4" w14:textId="60FDA333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B9CA1" w14:textId="03BF31AD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20,00%</w:t>
            </w:r>
          </w:p>
        </w:tc>
      </w:tr>
      <w:tr w:rsidR="00F60874" w14:paraId="4C61EB1C" w14:textId="77777777" w:rsidTr="0095786C">
        <w:trPr>
          <w:trHeight w:val="3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59F42" w14:textId="77777777" w:rsidR="00F60874" w:rsidRPr="00635227" w:rsidRDefault="00F60874" w:rsidP="00F60874">
            <w:pPr>
              <w:spacing w:after="0" w:line="256" w:lineRule="auto"/>
              <w:jc w:val="left"/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B8011" w14:textId="77777777" w:rsidR="00F60874" w:rsidRPr="00635227" w:rsidRDefault="00F60874" w:rsidP="00F60874">
            <w:pPr>
              <w:spacing w:after="0"/>
              <w:jc w:val="left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7º V a - FI em Direitos Creditórios - sênior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CE4E4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5,00%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5DB10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1E5A7" w14:textId="59CD2A9A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426A3" w14:textId="1D07FD7C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B156D" w14:textId="13053C43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</w:tr>
      <w:tr w:rsidR="00F60874" w14:paraId="678CEAE3" w14:textId="77777777" w:rsidTr="0095786C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857C51" w14:textId="77777777" w:rsidR="00F60874" w:rsidRPr="00635227" w:rsidRDefault="00F60874" w:rsidP="00F60874">
            <w:pPr>
              <w:spacing w:after="0" w:line="256" w:lineRule="auto"/>
              <w:jc w:val="left"/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F25E4" w14:textId="77777777" w:rsidR="00F60874" w:rsidRPr="00635227" w:rsidRDefault="00F60874" w:rsidP="00F60874">
            <w:pPr>
              <w:spacing w:after="0"/>
              <w:jc w:val="left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7º V b - FI Renda Fixa "Crédito Privado"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D55F9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5,00%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8097F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13763" w14:textId="64325998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69A2B" w14:textId="022B8C35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5,00%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54F38" w14:textId="507658A4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5,00%</w:t>
            </w:r>
          </w:p>
        </w:tc>
      </w:tr>
      <w:tr w:rsidR="00F60874" w14:paraId="0509B3F8" w14:textId="77777777" w:rsidTr="0095786C">
        <w:trPr>
          <w:trHeight w:val="3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1BF49D" w14:textId="77777777" w:rsidR="00F60874" w:rsidRPr="00635227" w:rsidRDefault="00F60874" w:rsidP="00F60874">
            <w:pPr>
              <w:spacing w:after="0" w:line="256" w:lineRule="auto"/>
              <w:jc w:val="left"/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3DEF5" w14:textId="77777777" w:rsidR="00F60874" w:rsidRPr="00635227" w:rsidRDefault="00F60874" w:rsidP="00F60874">
            <w:pPr>
              <w:spacing w:after="0"/>
              <w:jc w:val="left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7º V c - FI de Debêntures Infraestrutura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D587C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5,00%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87412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9CD60" w14:textId="3C58CDEE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8B8DD" w14:textId="0FDE8D20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8B9B8" w14:textId="039F46A4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</w:tr>
      <w:tr w:rsidR="00F60874" w14:paraId="58EA0206" w14:textId="77777777" w:rsidTr="0095786C">
        <w:trPr>
          <w:trHeight w:val="341"/>
        </w:trPr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9E8B0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09F9A" w14:textId="77777777" w:rsidR="00F60874" w:rsidRPr="00635227" w:rsidRDefault="00F60874" w:rsidP="00F60874">
            <w:pPr>
              <w:spacing w:after="0"/>
              <w:jc w:val="left"/>
            </w:pPr>
            <w:r w:rsidRPr="006352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Limite de Renda Fixa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78D7F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BFD9A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CED2F" w14:textId="2AF93393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08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41,38%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42806" w14:textId="68E54ACA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08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69,25%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04313" w14:textId="3CB1BA78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08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248,90%</w:t>
            </w:r>
          </w:p>
        </w:tc>
      </w:tr>
      <w:tr w:rsidR="00F60874" w14:paraId="6920BFD0" w14:textId="77777777" w:rsidTr="0095786C">
        <w:trPr>
          <w:trHeight w:val="314"/>
        </w:trPr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C7D05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4DE52" w14:textId="77777777" w:rsidR="00F60874" w:rsidRPr="00635227" w:rsidRDefault="00F60874" w:rsidP="00F60874">
            <w:pPr>
              <w:spacing w:after="0"/>
              <w:jc w:val="left"/>
            </w:pPr>
            <w:r w:rsidRPr="00635227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1976E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B0DD0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2D968A" w14:textId="1F49F870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F50BE3" w14:textId="73CCA804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D608E9" w14:textId="0D569EA9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874" w14:paraId="07B125AE" w14:textId="77777777" w:rsidTr="0095786C">
        <w:trPr>
          <w:trHeight w:val="341"/>
        </w:trPr>
        <w:tc>
          <w:tcPr>
            <w:tcW w:w="12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B816E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Renda Variável, Estruturados e FII</w:t>
            </w:r>
          </w:p>
          <w:p w14:paraId="3F511DE5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Courier New" w:hAnsi="Courier New" w:cs="Courier New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4B83A" w14:textId="77777777" w:rsidR="00F60874" w:rsidRPr="00635227" w:rsidRDefault="00F60874" w:rsidP="00F60874">
            <w:pPr>
              <w:spacing w:after="0"/>
              <w:jc w:val="left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8º I - FI de Ações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C6156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30,00%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EF908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48B1D" w14:textId="2E9AAA2D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1,89%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99DE4" w14:textId="74F06969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19,75%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B232B" w14:textId="5CE52EA6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20,00%</w:t>
            </w:r>
          </w:p>
        </w:tc>
      </w:tr>
      <w:tr w:rsidR="00F60874" w14:paraId="4914728A" w14:textId="77777777" w:rsidTr="0095786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FF3DD5" w14:textId="77777777" w:rsidR="00F60874" w:rsidRPr="00635227" w:rsidRDefault="00F60874" w:rsidP="00F60874">
            <w:pPr>
              <w:spacing w:after="0" w:line="256" w:lineRule="auto"/>
              <w:jc w:val="left"/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3E202" w14:textId="77777777" w:rsidR="00F60874" w:rsidRPr="00635227" w:rsidRDefault="00F60874" w:rsidP="00F60874">
            <w:pPr>
              <w:spacing w:after="0"/>
              <w:jc w:val="left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8º II - ETF - Índice de Ações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22118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30,00%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C82AA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D91A5" w14:textId="06F9653A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93145" w14:textId="15A170B2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4051A" w14:textId="0C41E48E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</w:tr>
      <w:tr w:rsidR="00F60874" w14:paraId="7CAB73D5" w14:textId="77777777" w:rsidTr="0095786C">
        <w:trPr>
          <w:trHeight w:val="3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AE589" w14:textId="77777777" w:rsidR="00F60874" w:rsidRPr="00635227" w:rsidRDefault="00F60874" w:rsidP="00F60874">
            <w:pPr>
              <w:spacing w:after="0" w:line="256" w:lineRule="auto"/>
              <w:jc w:val="left"/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48498" w14:textId="77777777" w:rsidR="00F60874" w:rsidRPr="00635227" w:rsidRDefault="00F60874" w:rsidP="00F60874">
            <w:pPr>
              <w:spacing w:after="0"/>
              <w:jc w:val="left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10º I - FI Multimercado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FB488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10,00%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D7BE1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64299" w14:textId="63AADF9E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3,75%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5DBF2" w14:textId="31BD17F2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5,00%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3B034" w14:textId="164E5AF6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10,00%</w:t>
            </w:r>
          </w:p>
        </w:tc>
      </w:tr>
      <w:tr w:rsidR="00F60874" w14:paraId="293AC4F1" w14:textId="77777777" w:rsidTr="0095786C">
        <w:trPr>
          <w:trHeight w:val="3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87B461" w14:textId="77777777" w:rsidR="00F60874" w:rsidRPr="00635227" w:rsidRDefault="00F60874" w:rsidP="00F60874">
            <w:pPr>
              <w:spacing w:after="0" w:line="256" w:lineRule="auto"/>
              <w:jc w:val="left"/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FCCC5" w14:textId="77777777" w:rsidR="00F60874" w:rsidRPr="00635227" w:rsidRDefault="00F60874" w:rsidP="00F60874">
            <w:pPr>
              <w:spacing w:after="0"/>
              <w:jc w:val="left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10º II - FI em Participações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F921D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5,00%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50F44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78E67" w14:textId="5B28D742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ED213" w14:textId="7709076B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DCF68" w14:textId="1E869F64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</w:tr>
      <w:tr w:rsidR="00F60874" w14:paraId="11F9AB24" w14:textId="77777777" w:rsidTr="0095786C">
        <w:trPr>
          <w:trHeight w:val="3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A20FAA" w14:textId="77777777" w:rsidR="00F60874" w:rsidRPr="00635227" w:rsidRDefault="00F60874" w:rsidP="00F60874">
            <w:pPr>
              <w:spacing w:after="0" w:line="256" w:lineRule="auto"/>
              <w:jc w:val="left"/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FDCDA" w14:textId="77777777" w:rsidR="00F60874" w:rsidRPr="00635227" w:rsidRDefault="00F60874" w:rsidP="00F60874">
            <w:pPr>
              <w:spacing w:after="0"/>
              <w:jc w:val="left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10º III - FI Mercado de Acesso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866D8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5,00%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E4988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7B0CF" w14:textId="0F2159CB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6DD32" w14:textId="4626ACEC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0CBDC" w14:textId="1B82A50C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</w:tr>
      <w:tr w:rsidR="00F60874" w14:paraId="09B9FCD3" w14:textId="77777777" w:rsidTr="0095786C">
        <w:trPr>
          <w:trHeight w:val="3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272D11" w14:textId="77777777" w:rsidR="00F60874" w:rsidRPr="00635227" w:rsidRDefault="00F60874" w:rsidP="00F60874">
            <w:pPr>
              <w:spacing w:after="0" w:line="256" w:lineRule="auto"/>
              <w:jc w:val="left"/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8A65E" w14:textId="77777777" w:rsidR="00F60874" w:rsidRPr="00635227" w:rsidRDefault="00F60874" w:rsidP="00F60874">
            <w:pPr>
              <w:spacing w:after="0"/>
              <w:jc w:val="left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11º - FI Imobiliário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318AD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5,00%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664FD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D03F8" w14:textId="41C60FDA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E1490" w14:textId="47BFA769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7BF7E" w14:textId="2115C299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</w:tr>
      <w:tr w:rsidR="00F60874" w14:paraId="51D8A657" w14:textId="77777777" w:rsidTr="0095786C">
        <w:trPr>
          <w:trHeight w:val="341"/>
        </w:trPr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4D909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6F275" w14:textId="77777777" w:rsidR="00F60874" w:rsidRPr="00635227" w:rsidRDefault="00F60874" w:rsidP="00F60874">
            <w:pPr>
              <w:spacing w:after="0"/>
              <w:jc w:val="left"/>
            </w:pPr>
            <w:r w:rsidRPr="006352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Limite de Renda Variável, Estruturado e FII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03138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30,00%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D0C75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3B98D" w14:textId="0C327DB9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08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5,64%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20FEC" w14:textId="182CD0D5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08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24,75%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97EF7" w14:textId="5BD28B01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08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30,00%</w:t>
            </w:r>
          </w:p>
        </w:tc>
      </w:tr>
      <w:tr w:rsidR="00F60874" w14:paraId="418EF978" w14:textId="77777777" w:rsidTr="0095786C">
        <w:trPr>
          <w:trHeight w:val="314"/>
        </w:trPr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244EC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B1276" w14:textId="77777777" w:rsidR="00F60874" w:rsidRPr="00635227" w:rsidRDefault="00F60874" w:rsidP="00F60874">
            <w:pPr>
              <w:spacing w:after="0"/>
              <w:jc w:val="left"/>
            </w:pPr>
            <w:r w:rsidRPr="00635227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0151A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67749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9B1A7D" w14:textId="4F1180F3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5407B3" w14:textId="6D8CD606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B83324" w14:textId="4EFB85A9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874" w14:paraId="283FC70C" w14:textId="77777777" w:rsidTr="006B40C9">
        <w:trPr>
          <w:trHeight w:val="314"/>
        </w:trPr>
        <w:tc>
          <w:tcPr>
            <w:tcW w:w="12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54125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Exterior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0E608" w14:textId="77777777" w:rsidR="00F60874" w:rsidRPr="00635227" w:rsidRDefault="00F60874" w:rsidP="00F60874">
            <w:pPr>
              <w:spacing w:after="0"/>
              <w:jc w:val="left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9º I - Renda Fixa - Dívida Externa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5A696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10,00%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48EA1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06A91" w14:textId="1BB8B42F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4F95E" w14:textId="4F7EE975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F69EF" w14:textId="6E89E7E9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</w:tr>
      <w:tr w:rsidR="00F60874" w14:paraId="6BC29396" w14:textId="77777777" w:rsidTr="006B40C9">
        <w:trPr>
          <w:trHeight w:val="3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C3ED4E" w14:textId="77777777" w:rsidR="00F60874" w:rsidRPr="00635227" w:rsidRDefault="00F60874" w:rsidP="00F60874">
            <w:pPr>
              <w:spacing w:after="0" w:line="256" w:lineRule="auto"/>
              <w:jc w:val="left"/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389ED" w14:textId="77777777" w:rsidR="00F60874" w:rsidRPr="00635227" w:rsidRDefault="00F60874" w:rsidP="00F60874">
            <w:pPr>
              <w:spacing w:after="0"/>
              <w:jc w:val="left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9º II - Constituídos no Brasil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F129B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10,00%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97F0D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BFF26" w14:textId="082619FC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81E17" w14:textId="25F304CC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6FE32" w14:textId="18349D28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</w:tr>
      <w:tr w:rsidR="00F60874" w14:paraId="3A0A4583" w14:textId="77777777" w:rsidTr="0095786C">
        <w:trPr>
          <w:trHeight w:val="3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A4D003" w14:textId="77777777" w:rsidR="00F60874" w:rsidRPr="00635227" w:rsidRDefault="00F60874" w:rsidP="00F60874">
            <w:pPr>
              <w:spacing w:after="0" w:line="256" w:lineRule="auto"/>
              <w:jc w:val="left"/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CD9EF" w14:textId="77777777" w:rsidR="00F60874" w:rsidRPr="00635227" w:rsidRDefault="00F60874" w:rsidP="00F60874">
            <w:pPr>
              <w:spacing w:after="0"/>
              <w:jc w:val="left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9º III - Ações - BDR Nível I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16D4D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10,00%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B2E1E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4F436" w14:textId="3747A1B0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9A81C" w14:textId="3123572D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5,00%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33AF9" w14:textId="6C77E43B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10,00%</w:t>
            </w:r>
          </w:p>
        </w:tc>
      </w:tr>
      <w:tr w:rsidR="00F60874" w14:paraId="770A10B8" w14:textId="77777777" w:rsidTr="0095786C">
        <w:trPr>
          <w:trHeight w:val="341"/>
        </w:trPr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99160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</w:rPr>
              <w:lastRenderedPageBreak/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AE118" w14:textId="77777777" w:rsidR="00F60874" w:rsidRPr="00635227" w:rsidRDefault="00F60874" w:rsidP="00F60874">
            <w:pPr>
              <w:spacing w:after="0"/>
              <w:jc w:val="left"/>
            </w:pPr>
            <w:r w:rsidRPr="006352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Limite de Investimentos no Exterior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A5206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10,00%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99735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A9CBA" w14:textId="77A872A7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08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B688F" w14:textId="769C3761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08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5,00%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6F963" w14:textId="06F3692E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08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10,00%</w:t>
            </w:r>
          </w:p>
        </w:tc>
      </w:tr>
      <w:tr w:rsidR="00F60874" w14:paraId="0D00A879" w14:textId="77777777" w:rsidTr="0095786C">
        <w:trPr>
          <w:trHeight w:val="314"/>
        </w:trPr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0672A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2AE11" w14:textId="77777777" w:rsidR="00F60874" w:rsidRPr="00635227" w:rsidRDefault="00F60874" w:rsidP="00F60874">
            <w:pPr>
              <w:spacing w:after="0"/>
              <w:jc w:val="left"/>
            </w:pPr>
            <w:r w:rsidRPr="00635227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CAD07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699C5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55E533" w14:textId="77777777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4685B6" w14:textId="77777777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8442BA" w14:textId="77777777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874" w14:paraId="2CC865E2" w14:textId="77777777" w:rsidTr="0095786C">
        <w:trPr>
          <w:trHeight w:val="314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BE7B2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Consignado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48B48" w14:textId="77777777" w:rsidR="00F60874" w:rsidRPr="00635227" w:rsidRDefault="00F60874" w:rsidP="00F60874">
            <w:pPr>
              <w:spacing w:after="0"/>
              <w:jc w:val="left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12º - Empréstimo Consignado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00720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5,00%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E126B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56AC4" w14:textId="5BA3BDC1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D9727" w14:textId="0613340C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1,00%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C849D" w14:textId="574F5D0E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0874">
              <w:rPr>
                <w:rFonts w:ascii="Arial" w:hAnsi="Arial" w:cs="Arial"/>
                <w:color w:val="000000"/>
                <w:sz w:val="16"/>
                <w:szCs w:val="16"/>
              </w:rPr>
              <w:t>5,00%</w:t>
            </w:r>
          </w:p>
        </w:tc>
      </w:tr>
      <w:tr w:rsidR="00F60874" w14:paraId="5BE4E968" w14:textId="77777777" w:rsidTr="00CE7B3D">
        <w:trPr>
          <w:trHeight w:val="314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969B1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875ED" w14:textId="77777777" w:rsidR="00F60874" w:rsidRPr="00635227" w:rsidRDefault="00F60874" w:rsidP="00F60874">
            <w:pPr>
              <w:spacing w:after="0"/>
              <w:jc w:val="left"/>
            </w:pPr>
            <w:r w:rsidRPr="00635227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10201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6B256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45C25" w14:textId="39080850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FB530" w14:textId="6D4CDEB0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69953" w14:textId="61AAB775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874" w14:paraId="5E78B878" w14:textId="77777777" w:rsidTr="0095786C">
        <w:trPr>
          <w:trHeight w:val="341"/>
        </w:trPr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B15F7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6A71B" w14:textId="77777777" w:rsidR="00F60874" w:rsidRPr="00635227" w:rsidRDefault="00F60874" w:rsidP="00F60874">
            <w:pPr>
              <w:spacing w:after="0"/>
              <w:jc w:val="left"/>
            </w:pPr>
            <w:r w:rsidRPr="006352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Total da Carteira de Investimentos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592BE" w14:textId="77777777" w:rsidR="00F60874" w:rsidRPr="00635227" w:rsidRDefault="00F60874" w:rsidP="00F60874"/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B7E5C" w14:textId="77777777" w:rsidR="00F60874" w:rsidRPr="00635227" w:rsidRDefault="00F60874" w:rsidP="00F60874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B424C" w14:textId="14A6A63E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08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47,01%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B4443" w14:textId="524F0933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08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69255" w14:textId="30F310C8" w:rsidR="00F60874" w:rsidRPr="00F60874" w:rsidRDefault="00F60874" w:rsidP="00F6087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08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293,90%</w:t>
            </w:r>
          </w:p>
        </w:tc>
      </w:tr>
    </w:tbl>
    <w:p w14:paraId="5849BB85" w14:textId="77777777" w:rsidR="00B52FD0" w:rsidRDefault="00B52FD0" w:rsidP="00B52FD0">
      <w:pPr>
        <w:spacing w:beforeLines="120" w:before="288" w:after="0" w:line="240" w:lineRule="auto"/>
        <w:jc w:val="center"/>
      </w:pPr>
    </w:p>
    <w:p w14:paraId="1FABB4AF" w14:textId="77777777" w:rsidR="00B52FD0" w:rsidRDefault="00B52FD0" w:rsidP="00B52FD0">
      <w:pPr>
        <w:spacing w:beforeLines="120" w:before="288" w:after="0" w:line="240" w:lineRule="auto"/>
        <w:jc w:val="center"/>
        <w:rPr>
          <w:b/>
          <w:bCs/>
          <w:szCs w:val="20"/>
        </w:rPr>
      </w:pPr>
      <w:r w:rsidRPr="00516AB2">
        <w:rPr>
          <w:b/>
          <w:bCs/>
          <w:szCs w:val="20"/>
        </w:rPr>
        <w:t>Alocação Estratégica para o</w:t>
      </w:r>
      <w:r>
        <w:rPr>
          <w:b/>
          <w:bCs/>
          <w:szCs w:val="20"/>
        </w:rPr>
        <w:t>s próximos 5 anos</w:t>
      </w:r>
    </w:p>
    <w:p w14:paraId="193F6F79" w14:textId="77777777" w:rsidR="00B52FD0" w:rsidRDefault="00B52FD0" w:rsidP="00B52FD0">
      <w:pPr>
        <w:spacing w:beforeLines="120" w:before="288" w:after="0" w:line="240" w:lineRule="auto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"/>
        <w:gridCol w:w="3392"/>
        <w:gridCol w:w="1419"/>
        <w:gridCol w:w="278"/>
        <w:gridCol w:w="1370"/>
        <w:gridCol w:w="1390"/>
      </w:tblGrid>
      <w:tr w:rsidR="00B52FD0" w14:paraId="3F892118" w14:textId="77777777" w:rsidTr="0095786C">
        <w:trPr>
          <w:trHeight w:val="784"/>
        </w:trPr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43CE4" w14:textId="77777777" w:rsidR="00B52FD0" w:rsidRPr="00635227" w:rsidRDefault="00B52FD0" w:rsidP="0095786C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0B8B2" w14:textId="77777777" w:rsidR="00B52FD0" w:rsidRPr="00635227" w:rsidRDefault="00B52FD0" w:rsidP="0095786C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A2B2D" w14:textId="77777777" w:rsidR="00B52FD0" w:rsidRPr="00635227" w:rsidRDefault="00B52FD0" w:rsidP="0095786C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74520" w14:textId="77777777" w:rsidR="00B52FD0" w:rsidRPr="00635227" w:rsidRDefault="00B52FD0" w:rsidP="0095786C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3A620" w14:textId="057DF641" w:rsidR="00B52FD0" w:rsidRPr="00635227" w:rsidRDefault="00B52FD0" w:rsidP="0095786C">
            <w:pPr>
              <w:spacing w:before="60" w:after="60"/>
              <w:jc w:val="center"/>
            </w:pPr>
            <w:r w:rsidRPr="006352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Estratégia de Alocação - Política de Investimento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– Próximos 5 anos</w:t>
            </w:r>
          </w:p>
        </w:tc>
      </w:tr>
      <w:tr w:rsidR="00B52FD0" w14:paraId="2E183D57" w14:textId="77777777" w:rsidTr="0095786C">
        <w:trPr>
          <w:trHeight w:val="639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77F25" w14:textId="77777777" w:rsidR="00B52FD0" w:rsidRPr="00635227" w:rsidRDefault="00B52FD0" w:rsidP="0095786C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Segmento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577B9" w14:textId="77777777" w:rsidR="00B52FD0" w:rsidRPr="00635227" w:rsidRDefault="00B52FD0" w:rsidP="0095786C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Tipo de Ativo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EC069" w14:textId="77777777" w:rsidR="00B52FD0" w:rsidRPr="00635227" w:rsidRDefault="00B52FD0" w:rsidP="0095786C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Limite da Resolução CMN %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84B92" w14:textId="77777777" w:rsidR="00B52FD0" w:rsidRPr="00635227" w:rsidRDefault="00B52FD0" w:rsidP="0095786C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7E832" w14:textId="77777777" w:rsidR="00B52FD0" w:rsidRPr="00635227" w:rsidRDefault="00B52FD0" w:rsidP="0095786C">
            <w:pPr>
              <w:spacing w:before="60" w:after="60"/>
              <w:jc w:val="center"/>
            </w:pPr>
            <w:r w:rsidRPr="006352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Limite Inferior (%)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39CEE" w14:textId="77777777" w:rsidR="00B52FD0" w:rsidRPr="00635227" w:rsidRDefault="00B52FD0" w:rsidP="0095786C">
            <w:pPr>
              <w:spacing w:before="60" w:after="60"/>
              <w:jc w:val="center"/>
            </w:pPr>
            <w:r w:rsidRPr="006352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Limite Superior (%)</w:t>
            </w:r>
          </w:p>
        </w:tc>
      </w:tr>
      <w:tr w:rsidR="00D814F7" w:rsidRPr="006B40C9" w14:paraId="1F9C46B7" w14:textId="77777777" w:rsidTr="006B40C9">
        <w:trPr>
          <w:trHeight w:val="310"/>
        </w:trPr>
        <w:tc>
          <w:tcPr>
            <w:tcW w:w="12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5F524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Renda Fixa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A4B4E" w14:textId="77777777" w:rsidR="00D814F7" w:rsidRPr="00635227" w:rsidRDefault="00D814F7" w:rsidP="00D814F7">
            <w:pPr>
              <w:spacing w:after="0"/>
              <w:jc w:val="left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7º I a - Títulos do Tesouro Nacional SELIC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7D876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100,00%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7FAA3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71BE6" w14:textId="64248286" w:rsidR="00D814F7" w:rsidRPr="00D814F7" w:rsidRDefault="00D814F7" w:rsidP="00D814F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4F7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63AD7" w14:textId="6D039CFE" w:rsidR="00D814F7" w:rsidRPr="00D814F7" w:rsidRDefault="00D814F7" w:rsidP="00D814F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4F7">
              <w:rPr>
                <w:rFonts w:ascii="Arial" w:hAnsi="Arial" w:cs="Arial"/>
                <w:color w:val="000000"/>
                <w:sz w:val="16"/>
                <w:szCs w:val="16"/>
              </w:rPr>
              <w:t>81,95%</w:t>
            </w:r>
          </w:p>
        </w:tc>
      </w:tr>
      <w:tr w:rsidR="00D814F7" w:rsidRPr="006B40C9" w14:paraId="6357DAAD" w14:textId="77777777" w:rsidTr="006B40C9">
        <w:trPr>
          <w:trHeight w:val="3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5190A7" w14:textId="77777777" w:rsidR="00D814F7" w:rsidRPr="00635227" w:rsidRDefault="00D814F7" w:rsidP="00D814F7">
            <w:pPr>
              <w:spacing w:after="0" w:line="256" w:lineRule="auto"/>
              <w:jc w:val="left"/>
            </w:pP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73D05" w14:textId="77777777" w:rsidR="00D814F7" w:rsidRPr="00635227" w:rsidRDefault="00D814F7" w:rsidP="00D814F7">
            <w:pPr>
              <w:spacing w:after="0"/>
              <w:jc w:val="left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7º I b - FI 100% Títulos TN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CC74D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100,00%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6B0AF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51000" w14:textId="363B8F95" w:rsidR="00D814F7" w:rsidRPr="00D814F7" w:rsidRDefault="00D814F7" w:rsidP="00D814F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4F7">
              <w:rPr>
                <w:rFonts w:ascii="Arial" w:hAnsi="Arial" w:cs="Arial"/>
                <w:color w:val="000000"/>
                <w:sz w:val="16"/>
                <w:szCs w:val="16"/>
              </w:rPr>
              <w:t>20,49%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3B588" w14:textId="6F1A2EF6" w:rsidR="00D814F7" w:rsidRPr="00D814F7" w:rsidRDefault="00D814F7" w:rsidP="00D814F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4F7">
              <w:rPr>
                <w:rFonts w:ascii="Arial" w:hAnsi="Arial" w:cs="Arial"/>
                <w:color w:val="000000"/>
                <w:sz w:val="16"/>
                <w:szCs w:val="16"/>
              </w:rPr>
              <w:t>81,95%</w:t>
            </w:r>
          </w:p>
        </w:tc>
      </w:tr>
      <w:tr w:rsidR="00D814F7" w:rsidRPr="006B40C9" w14:paraId="54B2EE4D" w14:textId="77777777" w:rsidTr="006B40C9">
        <w:trPr>
          <w:trHeight w:val="3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D0880" w14:textId="77777777" w:rsidR="00D814F7" w:rsidRPr="00635227" w:rsidRDefault="00D814F7" w:rsidP="00D814F7">
            <w:pPr>
              <w:spacing w:after="0" w:line="256" w:lineRule="auto"/>
              <w:jc w:val="left"/>
            </w:pP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BE553" w14:textId="77777777" w:rsidR="00D814F7" w:rsidRPr="00635227" w:rsidRDefault="00D814F7" w:rsidP="00D814F7">
            <w:pPr>
              <w:spacing w:after="0"/>
              <w:jc w:val="left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 xml:space="preserve">7º I c - FI </w:t>
            </w:r>
            <w:proofErr w:type="spellStart"/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Ref</w:t>
            </w:r>
            <w:proofErr w:type="spellEnd"/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 xml:space="preserve"> em Índice de RF, 100% TP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97E4A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100,00%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EAE41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FD77F" w14:textId="40DAA485" w:rsidR="00D814F7" w:rsidRPr="00D814F7" w:rsidRDefault="00D814F7" w:rsidP="00D814F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4F7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ADB7C" w14:textId="03CC7A57" w:rsidR="00D814F7" w:rsidRPr="00D814F7" w:rsidRDefault="00D814F7" w:rsidP="00D814F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4F7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</w:tr>
      <w:tr w:rsidR="00D814F7" w:rsidRPr="006B40C9" w14:paraId="5F5C6564" w14:textId="77777777" w:rsidTr="006B40C9">
        <w:trPr>
          <w:trHeight w:val="3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CDA09" w14:textId="77777777" w:rsidR="00D814F7" w:rsidRPr="00635227" w:rsidRDefault="00D814F7" w:rsidP="00D814F7">
            <w:pPr>
              <w:spacing w:after="0" w:line="256" w:lineRule="auto"/>
              <w:jc w:val="left"/>
            </w:pP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571D9" w14:textId="77777777" w:rsidR="00D814F7" w:rsidRPr="00635227" w:rsidRDefault="00D814F7" w:rsidP="00D814F7">
            <w:pPr>
              <w:spacing w:after="0"/>
              <w:jc w:val="left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 xml:space="preserve">7º II - </w:t>
            </w:r>
            <w:proofErr w:type="spellStart"/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Oper</w:t>
            </w:r>
            <w:proofErr w:type="spellEnd"/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. compromissadas em títulos TN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D5EF0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5,00%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FCD24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DC183" w14:textId="3D2F4923" w:rsidR="00D814F7" w:rsidRPr="00D814F7" w:rsidRDefault="00D814F7" w:rsidP="00D814F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4F7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5737E" w14:textId="0A69C0D7" w:rsidR="00D814F7" w:rsidRPr="00D814F7" w:rsidRDefault="00D814F7" w:rsidP="00D814F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4F7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</w:tr>
      <w:tr w:rsidR="00D814F7" w:rsidRPr="006B40C9" w14:paraId="35A4724C" w14:textId="77777777" w:rsidTr="006B40C9">
        <w:trPr>
          <w:trHeight w:val="3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AA8524" w14:textId="77777777" w:rsidR="00D814F7" w:rsidRPr="00635227" w:rsidRDefault="00D814F7" w:rsidP="00D814F7">
            <w:pPr>
              <w:spacing w:after="0" w:line="256" w:lineRule="auto"/>
              <w:jc w:val="left"/>
            </w:pP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2B1CA" w14:textId="77777777" w:rsidR="00D814F7" w:rsidRPr="00635227" w:rsidRDefault="00D814F7" w:rsidP="00D814F7">
            <w:pPr>
              <w:spacing w:after="0"/>
              <w:jc w:val="left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7º III a - FI RF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B41A9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60,00%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2E1D5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EA8E1" w14:textId="2401B19B" w:rsidR="00D814F7" w:rsidRPr="00D814F7" w:rsidRDefault="00D814F7" w:rsidP="00D814F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4F7">
              <w:rPr>
                <w:rFonts w:ascii="Arial" w:hAnsi="Arial" w:cs="Arial"/>
                <w:color w:val="000000"/>
                <w:sz w:val="16"/>
                <w:szCs w:val="16"/>
              </w:rPr>
              <w:t>20,89%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1AD5C" w14:textId="63FBF96F" w:rsidR="00D814F7" w:rsidRPr="00D814F7" w:rsidRDefault="00D814F7" w:rsidP="00D814F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4F7">
              <w:rPr>
                <w:rFonts w:ascii="Arial" w:hAnsi="Arial" w:cs="Arial"/>
                <w:color w:val="000000"/>
                <w:sz w:val="16"/>
                <w:szCs w:val="16"/>
              </w:rPr>
              <w:t>60,00%</w:t>
            </w:r>
          </w:p>
        </w:tc>
      </w:tr>
      <w:tr w:rsidR="00D814F7" w:rsidRPr="006B40C9" w14:paraId="6341174F" w14:textId="77777777" w:rsidTr="006B40C9">
        <w:trPr>
          <w:trHeight w:val="3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C19937" w14:textId="77777777" w:rsidR="00D814F7" w:rsidRPr="00635227" w:rsidRDefault="00D814F7" w:rsidP="00D814F7">
            <w:pPr>
              <w:spacing w:after="0" w:line="256" w:lineRule="auto"/>
              <w:jc w:val="left"/>
            </w:pP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F9106" w14:textId="77777777" w:rsidR="00D814F7" w:rsidRPr="00635227" w:rsidRDefault="00D814F7" w:rsidP="00D814F7">
            <w:pPr>
              <w:spacing w:after="0"/>
              <w:jc w:val="left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7º III b - FI de Índices RF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B55F1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60,00%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CDDD3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6AC96" w14:textId="28043A15" w:rsidR="00D814F7" w:rsidRPr="00D814F7" w:rsidRDefault="00D814F7" w:rsidP="00D814F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4F7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7D487" w14:textId="1B90AC72" w:rsidR="00D814F7" w:rsidRPr="00D814F7" w:rsidRDefault="00D814F7" w:rsidP="00D814F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4F7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</w:tr>
      <w:tr w:rsidR="00D814F7" w:rsidRPr="006B40C9" w14:paraId="6C389A57" w14:textId="77777777" w:rsidTr="006B40C9">
        <w:trPr>
          <w:trHeight w:val="3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280A7D" w14:textId="77777777" w:rsidR="00D814F7" w:rsidRPr="00635227" w:rsidRDefault="00D814F7" w:rsidP="00D814F7">
            <w:pPr>
              <w:spacing w:after="0" w:line="256" w:lineRule="auto"/>
              <w:jc w:val="left"/>
            </w:pP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7409E" w14:textId="77777777" w:rsidR="00D814F7" w:rsidRPr="00635227" w:rsidRDefault="00D814F7" w:rsidP="00D814F7">
            <w:pPr>
              <w:spacing w:after="0"/>
              <w:jc w:val="left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7º IV - Renda Fixa de emissão bancária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6B3C1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20,00%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AE276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E7958" w14:textId="2C1AC446" w:rsidR="00D814F7" w:rsidRPr="00D814F7" w:rsidRDefault="00D814F7" w:rsidP="00D814F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4F7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212D1" w14:textId="04E3D967" w:rsidR="00D814F7" w:rsidRPr="00D814F7" w:rsidRDefault="00D814F7" w:rsidP="00D814F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4F7">
              <w:rPr>
                <w:rFonts w:ascii="Arial" w:hAnsi="Arial" w:cs="Arial"/>
                <w:color w:val="000000"/>
                <w:sz w:val="16"/>
                <w:szCs w:val="16"/>
              </w:rPr>
              <w:t>20,00%</w:t>
            </w:r>
          </w:p>
        </w:tc>
      </w:tr>
      <w:tr w:rsidR="00D814F7" w:rsidRPr="006B40C9" w14:paraId="36DDF909" w14:textId="77777777" w:rsidTr="006B40C9">
        <w:trPr>
          <w:trHeight w:val="3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85E135" w14:textId="77777777" w:rsidR="00D814F7" w:rsidRPr="00635227" w:rsidRDefault="00D814F7" w:rsidP="00D814F7">
            <w:pPr>
              <w:spacing w:after="0" w:line="256" w:lineRule="auto"/>
              <w:jc w:val="left"/>
            </w:pP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D93C7" w14:textId="77777777" w:rsidR="00D814F7" w:rsidRPr="00635227" w:rsidRDefault="00D814F7" w:rsidP="00D814F7">
            <w:pPr>
              <w:spacing w:after="0"/>
              <w:jc w:val="left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7º V a - FI em Direitos Creditórios - sênior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B3E38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5,00%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EA6CF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24372" w14:textId="17EC8E17" w:rsidR="00D814F7" w:rsidRPr="00D814F7" w:rsidRDefault="00D814F7" w:rsidP="00D814F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4F7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223A3" w14:textId="346D33D0" w:rsidR="00D814F7" w:rsidRPr="00D814F7" w:rsidRDefault="00D814F7" w:rsidP="00D814F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4F7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</w:tr>
      <w:tr w:rsidR="00D814F7" w:rsidRPr="006B40C9" w14:paraId="5843E119" w14:textId="77777777" w:rsidTr="006B40C9">
        <w:trPr>
          <w:trHeight w:val="3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7A7CE" w14:textId="77777777" w:rsidR="00D814F7" w:rsidRPr="00635227" w:rsidRDefault="00D814F7" w:rsidP="00D814F7">
            <w:pPr>
              <w:spacing w:after="0" w:line="256" w:lineRule="auto"/>
              <w:jc w:val="left"/>
            </w:pP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D8C5C" w14:textId="77777777" w:rsidR="00D814F7" w:rsidRPr="00635227" w:rsidRDefault="00D814F7" w:rsidP="00D814F7">
            <w:pPr>
              <w:spacing w:after="0"/>
              <w:jc w:val="left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7º V b - FI Renda Fixa "Crédito Privado"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E8F72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5,00%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1E315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147DD" w14:textId="54FA8298" w:rsidR="00D814F7" w:rsidRPr="00D814F7" w:rsidRDefault="00D814F7" w:rsidP="00D814F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4F7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EBBB5" w14:textId="6A5F96CF" w:rsidR="00D814F7" w:rsidRPr="00D814F7" w:rsidRDefault="00D814F7" w:rsidP="00D814F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4F7">
              <w:rPr>
                <w:rFonts w:ascii="Arial" w:hAnsi="Arial" w:cs="Arial"/>
                <w:color w:val="000000"/>
                <w:sz w:val="16"/>
                <w:szCs w:val="16"/>
              </w:rPr>
              <w:t>5,00%</w:t>
            </w:r>
          </w:p>
        </w:tc>
      </w:tr>
      <w:tr w:rsidR="00D814F7" w:rsidRPr="006B40C9" w14:paraId="5E299D90" w14:textId="77777777" w:rsidTr="006B40C9">
        <w:trPr>
          <w:trHeight w:val="3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1F6DD3" w14:textId="77777777" w:rsidR="00D814F7" w:rsidRPr="00635227" w:rsidRDefault="00D814F7" w:rsidP="00D814F7">
            <w:pPr>
              <w:spacing w:after="0" w:line="256" w:lineRule="auto"/>
              <w:jc w:val="left"/>
            </w:pP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50727" w14:textId="77777777" w:rsidR="00D814F7" w:rsidRPr="00635227" w:rsidRDefault="00D814F7" w:rsidP="00D814F7">
            <w:pPr>
              <w:spacing w:after="0"/>
              <w:jc w:val="left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7º V c - FI de Debêntures Infraestrutura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0324B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5,00%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639E5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7C714" w14:textId="7F58C97D" w:rsidR="00D814F7" w:rsidRPr="00D814F7" w:rsidRDefault="00D814F7" w:rsidP="00D814F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4F7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D2FA4" w14:textId="2BAA973B" w:rsidR="00D814F7" w:rsidRPr="00D814F7" w:rsidRDefault="00D814F7" w:rsidP="00D814F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4F7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</w:tr>
      <w:tr w:rsidR="00D814F7" w:rsidRPr="006B40C9" w14:paraId="331900CA" w14:textId="77777777" w:rsidTr="006B40C9">
        <w:trPr>
          <w:trHeight w:val="337"/>
        </w:trPr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E883B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D475A" w14:textId="77777777" w:rsidR="00D814F7" w:rsidRPr="00635227" w:rsidRDefault="00D814F7" w:rsidP="00D814F7">
            <w:pPr>
              <w:spacing w:after="0"/>
              <w:jc w:val="left"/>
            </w:pPr>
            <w:r w:rsidRPr="006352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Limite de Renda Fixa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734B6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E3556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0EA99" w14:textId="0CFAD2FE" w:rsidR="00D814F7" w:rsidRPr="00D814F7" w:rsidRDefault="00D814F7" w:rsidP="00D814F7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14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41,38%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4DEEE" w14:textId="14A18C9A" w:rsidR="00D814F7" w:rsidRPr="00D814F7" w:rsidRDefault="00D814F7" w:rsidP="00D814F7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14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248,90%</w:t>
            </w:r>
          </w:p>
        </w:tc>
      </w:tr>
      <w:tr w:rsidR="00D814F7" w:rsidRPr="006B40C9" w14:paraId="613AD1BA" w14:textId="77777777" w:rsidTr="0095786C">
        <w:trPr>
          <w:trHeight w:val="310"/>
        </w:trPr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0254A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374E7" w14:textId="77777777" w:rsidR="00D814F7" w:rsidRPr="00635227" w:rsidRDefault="00D814F7" w:rsidP="00D814F7">
            <w:pPr>
              <w:spacing w:after="0"/>
              <w:jc w:val="left"/>
            </w:pPr>
            <w:r w:rsidRPr="00635227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8A6C5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2C04A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C79FDD" w14:textId="35F09C89" w:rsidR="00D814F7" w:rsidRPr="00D814F7" w:rsidRDefault="00D814F7" w:rsidP="00D814F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4CB7F9" w14:textId="6AB20A62" w:rsidR="00D814F7" w:rsidRPr="00D814F7" w:rsidRDefault="00D814F7" w:rsidP="00D814F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14F7" w:rsidRPr="006B40C9" w14:paraId="1E11C00B" w14:textId="77777777" w:rsidTr="006B40C9">
        <w:trPr>
          <w:trHeight w:val="337"/>
        </w:trPr>
        <w:tc>
          <w:tcPr>
            <w:tcW w:w="12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CB998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Renda Variável, Estruturados e FII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8BAB6" w14:textId="77777777" w:rsidR="00D814F7" w:rsidRPr="00635227" w:rsidRDefault="00D814F7" w:rsidP="00D814F7">
            <w:pPr>
              <w:spacing w:after="0"/>
              <w:jc w:val="left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8º I - FI de Ações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F9E52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30,00%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9B78F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3C7E2" w14:textId="332F4884" w:rsidR="00D814F7" w:rsidRPr="00D814F7" w:rsidRDefault="00D814F7" w:rsidP="00D814F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4F7">
              <w:rPr>
                <w:rFonts w:ascii="Arial" w:hAnsi="Arial" w:cs="Arial"/>
                <w:color w:val="000000"/>
                <w:sz w:val="16"/>
                <w:szCs w:val="16"/>
              </w:rPr>
              <w:t>1,89%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80842" w14:textId="1F6114D7" w:rsidR="00D814F7" w:rsidRPr="00D814F7" w:rsidRDefault="00D814F7" w:rsidP="00D814F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4F7">
              <w:rPr>
                <w:rFonts w:ascii="Arial" w:hAnsi="Arial" w:cs="Arial"/>
                <w:color w:val="000000"/>
                <w:sz w:val="16"/>
                <w:szCs w:val="16"/>
              </w:rPr>
              <w:t>20,00%</w:t>
            </w:r>
          </w:p>
        </w:tc>
      </w:tr>
      <w:tr w:rsidR="00D814F7" w:rsidRPr="006B40C9" w14:paraId="447CB1A3" w14:textId="77777777" w:rsidTr="006B40C9">
        <w:trPr>
          <w:trHeight w:val="3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12756" w14:textId="77777777" w:rsidR="00D814F7" w:rsidRPr="00635227" w:rsidRDefault="00D814F7" w:rsidP="00D814F7">
            <w:pPr>
              <w:spacing w:after="0" w:line="256" w:lineRule="auto"/>
              <w:jc w:val="left"/>
            </w:pP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ED0B5" w14:textId="77777777" w:rsidR="00D814F7" w:rsidRPr="00635227" w:rsidRDefault="00D814F7" w:rsidP="00D814F7">
            <w:pPr>
              <w:spacing w:after="0"/>
              <w:jc w:val="left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8º II - ETF - Índice de Ações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967A7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30,00%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A387A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56CBF" w14:textId="6466A9DB" w:rsidR="00D814F7" w:rsidRPr="00D814F7" w:rsidRDefault="00D814F7" w:rsidP="00D814F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4F7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9BFB7" w14:textId="786C4B1D" w:rsidR="00D814F7" w:rsidRPr="00D814F7" w:rsidRDefault="00D814F7" w:rsidP="00D814F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4F7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</w:tr>
      <w:tr w:rsidR="00D814F7" w:rsidRPr="006B40C9" w14:paraId="47365999" w14:textId="77777777" w:rsidTr="006B40C9">
        <w:trPr>
          <w:trHeight w:val="3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7921A" w14:textId="77777777" w:rsidR="00D814F7" w:rsidRPr="00635227" w:rsidRDefault="00D814F7" w:rsidP="00D814F7">
            <w:pPr>
              <w:spacing w:after="0" w:line="256" w:lineRule="auto"/>
              <w:jc w:val="left"/>
            </w:pP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CF21E" w14:textId="77777777" w:rsidR="00D814F7" w:rsidRPr="00635227" w:rsidRDefault="00D814F7" w:rsidP="00D814F7">
            <w:pPr>
              <w:spacing w:after="0"/>
              <w:jc w:val="left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10º I - FI Multimercado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160B5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10,00%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7EA9B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FF089" w14:textId="74F54D22" w:rsidR="00D814F7" w:rsidRPr="00D814F7" w:rsidRDefault="00D814F7" w:rsidP="00D814F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4F7">
              <w:rPr>
                <w:rFonts w:ascii="Arial" w:hAnsi="Arial" w:cs="Arial"/>
                <w:color w:val="000000"/>
                <w:sz w:val="16"/>
                <w:szCs w:val="16"/>
              </w:rPr>
              <w:t>3,75%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B8266" w14:textId="7D89F670" w:rsidR="00D814F7" w:rsidRPr="00D814F7" w:rsidRDefault="00D814F7" w:rsidP="00D814F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4F7">
              <w:rPr>
                <w:rFonts w:ascii="Arial" w:hAnsi="Arial" w:cs="Arial"/>
                <w:color w:val="000000"/>
                <w:sz w:val="16"/>
                <w:szCs w:val="16"/>
              </w:rPr>
              <w:t>10,00%</w:t>
            </w:r>
          </w:p>
        </w:tc>
      </w:tr>
      <w:tr w:rsidR="00D814F7" w:rsidRPr="006B40C9" w14:paraId="1F252878" w14:textId="77777777" w:rsidTr="006B40C9">
        <w:trPr>
          <w:trHeight w:val="3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18148F" w14:textId="77777777" w:rsidR="00D814F7" w:rsidRPr="00635227" w:rsidRDefault="00D814F7" w:rsidP="00D814F7">
            <w:pPr>
              <w:spacing w:after="0" w:line="256" w:lineRule="auto"/>
              <w:jc w:val="left"/>
            </w:pP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95A7D" w14:textId="77777777" w:rsidR="00D814F7" w:rsidRPr="00635227" w:rsidRDefault="00D814F7" w:rsidP="00D814F7">
            <w:pPr>
              <w:spacing w:after="0"/>
              <w:jc w:val="left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10º II - FI em Participações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12B26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5,00%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1446C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AA134" w14:textId="57616D5F" w:rsidR="00D814F7" w:rsidRPr="00D814F7" w:rsidRDefault="00D814F7" w:rsidP="00D814F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4F7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703AE" w14:textId="5990CECD" w:rsidR="00D814F7" w:rsidRPr="00D814F7" w:rsidRDefault="00D814F7" w:rsidP="00D814F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4F7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</w:tr>
      <w:tr w:rsidR="00D814F7" w:rsidRPr="006B40C9" w14:paraId="761CA577" w14:textId="77777777" w:rsidTr="006B40C9">
        <w:trPr>
          <w:trHeight w:val="3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8E398A" w14:textId="77777777" w:rsidR="00D814F7" w:rsidRPr="00635227" w:rsidRDefault="00D814F7" w:rsidP="00D814F7">
            <w:pPr>
              <w:spacing w:after="0" w:line="256" w:lineRule="auto"/>
              <w:jc w:val="left"/>
            </w:pP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25AF2" w14:textId="77777777" w:rsidR="00D814F7" w:rsidRPr="00635227" w:rsidRDefault="00D814F7" w:rsidP="00D814F7">
            <w:pPr>
              <w:spacing w:after="0"/>
              <w:jc w:val="left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10º III - FI Mercado de Acesso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7BA7A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5,00%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99583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9AF76" w14:textId="5E4C77A3" w:rsidR="00D814F7" w:rsidRPr="00D814F7" w:rsidRDefault="00D814F7" w:rsidP="00D814F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4F7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D18C8" w14:textId="4B4993BE" w:rsidR="00D814F7" w:rsidRPr="00D814F7" w:rsidRDefault="00D814F7" w:rsidP="00D814F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4F7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</w:tr>
      <w:tr w:rsidR="00D814F7" w:rsidRPr="006B40C9" w14:paraId="410AEA34" w14:textId="77777777" w:rsidTr="006B40C9">
        <w:trPr>
          <w:trHeight w:val="3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04CD54" w14:textId="77777777" w:rsidR="00D814F7" w:rsidRPr="00635227" w:rsidRDefault="00D814F7" w:rsidP="00D814F7">
            <w:pPr>
              <w:spacing w:after="0" w:line="256" w:lineRule="auto"/>
              <w:jc w:val="left"/>
            </w:pP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5D62D" w14:textId="77777777" w:rsidR="00D814F7" w:rsidRPr="00635227" w:rsidRDefault="00D814F7" w:rsidP="00D814F7">
            <w:pPr>
              <w:spacing w:after="0"/>
              <w:jc w:val="left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11º - FI Imobiliário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63AD7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5,00%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C1050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AAE78" w14:textId="383D72B9" w:rsidR="00D814F7" w:rsidRPr="00D814F7" w:rsidRDefault="00D814F7" w:rsidP="00D814F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4F7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41086" w14:textId="111DB183" w:rsidR="00D814F7" w:rsidRPr="00D814F7" w:rsidRDefault="00D814F7" w:rsidP="00D814F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4F7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</w:tr>
      <w:tr w:rsidR="00D814F7" w:rsidRPr="006B40C9" w14:paraId="76F927CB" w14:textId="77777777" w:rsidTr="006B40C9">
        <w:trPr>
          <w:trHeight w:val="337"/>
        </w:trPr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79ABD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83A4C" w14:textId="77777777" w:rsidR="00D814F7" w:rsidRPr="00635227" w:rsidRDefault="00D814F7" w:rsidP="00D814F7">
            <w:pPr>
              <w:spacing w:after="0"/>
              <w:jc w:val="left"/>
            </w:pPr>
            <w:r w:rsidRPr="006352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Limite de Renda Variável, Estruturado e FII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15632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30,00%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474D0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20F54" w14:textId="2BA02C69" w:rsidR="00D814F7" w:rsidRPr="00D814F7" w:rsidRDefault="00D814F7" w:rsidP="00D814F7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14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5,64%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2D319" w14:textId="0855DDB2" w:rsidR="00D814F7" w:rsidRPr="00D814F7" w:rsidRDefault="00D814F7" w:rsidP="00D814F7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14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30,00%</w:t>
            </w:r>
          </w:p>
        </w:tc>
      </w:tr>
      <w:tr w:rsidR="00D814F7" w:rsidRPr="006B40C9" w14:paraId="4DAB286B" w14:textId="77777777" w:rsidTr="0095786C">
        <w:trPr>
          <w:trHeight w:val="310"/>
        </w:trPr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87C0C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BC860" w14:textId="77777777" w:rsidR="00D814F7" w:rsidRPr="00635227" w:rsidRDefault="00D814F7" w:rsidP="00D814F7">
            <w:pPr>
              <w:spacing w:after="0"/>
              <w:jc w:val="left"/>
            </w:pPr>
            <w:r w:rsidRPr="00635227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2F9EA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A8D8E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D54AB0" w14:textId="4B4550E8" w:rsidR="00D814F7" w:rsidRPr="00D814F7" w:rsidRDefault="00D814F7" w:rsidP="00D814F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9F346E" w14:textId="3D3D9F0F" w:rsidR="00D814F7" w:rsidRPr="00D814F7" w:rsidRDefault="00D814F7" w:rsidP="00D814F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14F7" w:rsidRPr="006B40C9" w14:paraId="451D7810" w14:textId="77777777" w:rsidTr="006B40C9">
        <w:trPr>
          <w:trHeight w:val="310"/>
        </w:trPr>
        <w:tc>
          <w:tcPr>
            <w:tcW w:w="12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A5D26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Exterior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45132" w14:textId="77777777" w:rsidR="00D814F7" w:rsidRPr="00635227" w:rsidRDefault="00D814F7" w:rsidP="00D814F7">
            <w:pPr>
              <w:spacing w:after="0"/>
              <w:jc w:val="left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9º I - Renda Fixa - Dívida Externa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BD58F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10,00%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CCC74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C617F" w14:textId="2483EC9F" w:rsidR="00D814F7" w:rsidRPr="00D814F7" w:rsidRDefault="00D814F7" w:rsidP="00D814F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4F7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5196F" w14:textId="0A9F5108" w:rsidR="00D814F7" w:rsidRPr="00D814F7" w:rsidRDefault="00D814F7" w:rsidP="00D814F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4F7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</w:tr>
      <w:tr w:rsidR="00D814F7" w:rsidRPr="006B40C9" w14:paraId="3AA8A27C" w14:textId="77777777" w:rsidTr="006B40C9">
        <w:trPr>
          <w:trHeight w:val="3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93D542" w14:textId="77777777" w:rsidR="00D814F7" w:rsidRPr="00635227" w:rsidRDefault="00D814F7" w:rsidP="00D814F7">
            <w:pPr>
              <w:spacing w:after="0" w:line="256" w:lineRule="auto"/>
              <w:jc w:val="left"/>
            </w:pP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8F77B" w14:textId="77777777" w:rsidR="00D814F7" w:rsidRPr="00635227" w:rsidRDefault="00D814F7" w:rsidP="00D814F7">
            <w:pPr>
              <w:spacing w:after="0"/>
              <w:jc w:val="left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9º II - Constituídos no Brasil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AED7F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10,00%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5E35F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0A33B" w14:textId="63946F41" w:rsidR="00D814F7" w:rsidRPr="00D814F7" w:rsidRDefault="00D814F7" w:rsidP="00D814F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4F7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2E1AE" w14:textId="67C48190" w:rsidR="00D814F7" w:rsidRPr="00D814F7" w:rsidRDefault="00D814F7" w:rsidP="00D814F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4F7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</w:tr>
      <w:tr w:rsidR="00D814F7" w:rsidRPr="006B40C9" w14:paraId="3490EA3D" w14:textId="77777777" w:rsidTr="006B40C9">
        <w:trPr>
          <w:trHeight w:val="3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6E3374" w14:textId="77777777" w:rsidR="00D814F7" w:rsidRPr="00635227" w:rsidRDefault="00D814F7" w:rsidP="00D814F7">
            <w:pPr>
              <w:spacing w:after="0" w:line="256" w:lineRule="auto"/>
              <w:jc w:val="left"/>
            </w:pP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8E321" w14:textId="77777777" w:rsidR="00D814F7" w:rsidRPr="00635227" w:rsidRDefault="00D814F7" w:rsidP="00D814F7">
            <w:pPr>
              <w:spacing w:after="0"/>
              <w:jc w:val="left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9º III - Ações - BDR Nível I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E1160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10,00%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D660B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0897D" w14:textId="61D301C8" w:rsidR="00D814F7" w:rsidRPr="00D814F7" w:rsidRDefault="00D814F7" w:rsidP="00D814F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4F7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763EB" w14:textId="2D67C899" w:rsidR="00D814F7" w:rsidRPr="00D814F7" w:rsidRDefault="00D814F7" w:rsidP="00D814F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4F7">
              <w:rPr>
                <w:rFonts w:ascii="Arial" w:hAnsi="Arial" w:cs="Arial"/>
                <w:color w:val="000000"/>
                <w:sz w:val="16"/>
                <w:szCs w:val="16"/>
              </w:rPr>
              <w:t>10,00%</w:t>
            </w:r>
          </w:p>
        </w:tc>
      </w:tr>
      <w:tr w:rsidR="00D814F7" w:rsidRPr="006B40C9" w14:paraId="63E05298" w14:textId="77777777" w:rsidTr="006B40C9">
        <w:trPr>
          <w:trHeight w:val="337"/>
        </w:trPr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70505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</w:rPr>
              <w:lastRenderedPageBreak/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86903" w14:textId="77777777" w:rsidR="00D814F7" w:rsidRPr="00635227" w:rsidRDefault="00D814F7" w:rsidP="00D814F7">
            <w:pPr>
              <w:spacing w:after="0"/>
              <w:jc w:val="left"/>
            </w:pPr>
            <w:r w:rsidRPr="006352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Limite de Investimentos no Exterior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1438C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10,00%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93930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3AC6C" w14:textId="434BD999" w:rsidR="00D814F7" w:rsidRPr="00D814F7" w:rsidRDefault="00D814F7" w:rsidP="00D814F7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14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A77BD" w14:textId="01C50B42" w:rsidR="00D814F7" w:rsidRPr="00D814F7" w:rsidRDefault="00D814F7" w:rsidP="00D814F7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14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10,00%</w:t>
            </w:r>
          </w:p>
        </w:tc>
      </w:tr>
      <w:tr w:rsidR="00D814F7" w:rsidRPr="006B40C9" w14:paraId="40800590" w14:textId="77777777" w:rsidTr="0095786C">
        <w:trPr>
          <w:trHeight w:val="310"/>
        </w:trPr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D6F41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1E8E0" w14:textId="77777777" w:rsidR="00D814F7" w:rsidRPr="00635227" w:rsidRDefault="00D814F7" w:rsidP="00D814F7">
            <w:pPr>
              <w:spacing w:after="0"/>
              <w:jc w:val="left"/>
            </w:pPr>
            <w:r w:rsidRPr="00635227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FD887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29652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ADBB7B" w14:textId="000BE6EF" w:rsidR="00D814F7" w:rsidRPr="00D814F7" w:rsidRDefault="00D814F7" w:rsidP="00D814F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FE228B" w14:textId="63A70230" w:rsidR="00D814F7" w:rsidRPr="00D814F7" w:rsidRDefault="00D814F7" w:rsidP="00D814F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14F7" w:rsidRPr="006B40C9" w14:paraId="420BB882" w14:textId="77777777" w:rsidTr="006B40C9">
        <w:trPr>
          <w:trHeight w:val="310"/>
        </w:trPr>
        <w:tc>
          <w:tcPr>
            <w:tcW w:w="12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241B4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Consignado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F4871" w14:textId="77777777" w:rsidR="00D814F7" w:rsidRPr="00635227" w:rsidRDefault="00D814F7" w:rsidP="00D814F7">
            <w:pPr>
              <w:spacing w:after="0"/>
              <w:jc w:val="left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12º - Empréstimo Consignado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AFDC8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  <w:sz w:val="16"/>
                <w:szCs w:val="16"/>
              </w:rPr>
              <w:t>5,00%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69655" w14:textId="77777777" w:rsidR="00D814F7" w:rsidRPr="00635227" w:rsidRDefault="00D814F7" w:rsidP="00D814F7">
            <w:pPr>
              <w:spacing w:after="0"/>
              <w:jc w:val="center"/>
            </w:pPr>
            <w:r w:rsidRPr="00635227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208F5" w14:textId="5B7B3561" w:rsidR="00D814F7" w:rsidRPr="00D814F7" w:rsidRDefault="00D814F7" w:rsidP="00D814F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4F7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E5CD3" w14:textId="5A501C67" w:rsidR="00D814F7" w:rsidRPr="00D814F7" w:rsidRDefault="00D814F7" w:rsidP="00D814F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4F7">
              <w:rPr>
                <w:rFonts w:ascii="Arial" w:hAnsi="Arial" w:cs="Arial"/>
                <w:color w:val="000000"/>
                <w:sz w:val="16"/>
                <w:szCs w:val="16"/>
              </w:rPr>
              <w:t>5,00%</w:t>
            </w:r>
          </w:p>
        </w:tc>
      </w:tr>
      <w:tr w:rsidR="00B52FD0" w14:paraId="392EDCDA" w14:textId="77777777" w:rsidTr="0095786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B2335C" w14:textId="77777777" w:rsidR="00B52FD0" w:rsidRPr="00635227" w:rsidRDefault="00B52FD0" w:rsidP="0095786C">
            <w:pPr>
              <w:spacing w:after="0" w:line="256" w:lineRule="auto"/>
              <w:jc w:val="left"/>
            </w:pPr>
          </w:p>
        </w:tc>
        <w:tc>
          <w:tcPr>
            <w:tcW w:w="0" w:type="auto"/>
            <w:vAlign w:val="center"/>
            <w:hideMark/>
          </w:tcPr>
          <w:p w14:paraId="0D6939A0" w14:textId="77777777" w:rsidR="00B52FD0" w:rsidRDefault="00B52FD0" w:rsidP="0095786C">
            <w:pPr>
              <w:spacing w:after="0" w:line="256" w:lineRule="auto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D46381" w14:textId="77777777" w:rsidR="00B52FD0" w:rsidRDefault="00B52FD0" w:rsidP="0095786C">
            <w:pPr>
              <w:spacing w:after="0" w:line="256" w:lineRule="auto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F9FE11" w14:textId="77777777" w:rsidR="00B52FD0" w:rsidRDefault="00B52FD0" w:rsidP="0095786C">
            <w:pPr>
              <w:spacing w:after="0" w:line="256" w:lineRule="auto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94A079" w14:textId="77777777" w:rsidR="00B52FD0" w:rsidRDefault="00B52FD0" w:rsidP="0095786C">
            <w:pPr>
              <w:spacing w:after="0" w:line="256" w:lineRule="auto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DD3B0A" w14:textId="77777777" w:rsidR="00B52FD0" w:rsidRDefault="00B52FD0" w:rsidP="0095786C">
            <w:pPr>
              <w:spacing w:after="0" w:line="256" w:lineRule="auto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</w:tbl>
    <w:p w14:paraId="55DB7874" w14:textId="77777777" w:rsidR="00B52FD0" w:rsidRDefault="00B52FD0" w:rsidP="00B52FD0">
      <w:pPr>
        <w:spacing w:beforeLines="120" w:before="288" w:after="0" w:line="240" w:lineRule="auto"/>
        <w:jc w:val="center"/>
      </w:pPr>
    </w:p>
    <w:p w14:paraId="39FE76FE" w14:textId="4D2E847C" w:rsidR="00A73A02" w:rsidRDefault="00A73A02" w:rsidP="009E1812"/>
    <w:p w14:paraId="0AD4BB8D" w14:textId="510CD9B5" w:rsidR="009E1812" w:rsidRDefault="009E1812" w:rsidP="00B62B8E">
      <w:r w:rsidRPr="00516AB2">
        <w:t xml:space="preserve">O </w:t>
      </w:r>
      <w:r w:rsidR="00287991">
        <w:rPr>
          <w:b/>
          <w:bCs/>
          <w:color w:val="000000" w:themeColor="text1"/>
          <w:szCs w:val="20"/>
        </w:rPr>
        <w:t>MUNICÍ</w:t>
      </w:r>
      <w:r w:rsidR="00287991" w:rsidRPr="006053F5">
        <w:rPr>
          <w:b/>
          <w:bCs/>
          <w:color w:val="000000" w:themeColor="text1"/>
          <w:szCs w:val="20"/>
        </w:rPr>
        <w:t>PIO</w:t>
      </w:r>
      <w:r w:rsidR="00287991" w:rsidRPr="00716D43">
        <w:rPr>
          <w:b/>
          <w:color w:val="000000" w:themeColor="text1"/>
        </w:rPr>
        <w:t xml:space="preserve"> </w:t>
      </w:r>
      <w:r w:rsidR="0058722D" w:rsidRPr="00716D43">
        <w:rPr>
          <w:b/>
          <w:color w:val="000000" w:themeColor="text1"/>
        </w:rPr>
        <w:t>DE GUARACI</w:t>
      </w:r>
      <w:r w:rsidR="0058722D" w:rsidRPr="00516AB2">
        <w:t xml:space="preserve"> </w:t>
      </w:r>
      <w:r w:rsidRPr="00516AB2">
        <w:t xml:space="preserve">considera os limites apresentados </w:t>
      </w:r>
      <w:r>
        <w:t>n</w:t>
      </w:r>
      <w:r w:rsidRPr="00516AB2">
        <w:t xml:space="preserve">o resultado </w:t>
      </w:r>
      <w:r>
        <w:t xml:space="preserve">do estudo técnico elaborado </w:t>
      </w:r>
      <w:r w:rsidRPr="00516AB2">
        <w:t>através das reservas técnicas atuariais e as reservas matemáticas</w:t>
      </w:r>
      <w:r w:rsidR="00AD34A3">
        <w:t xml:space="preserve"> </w:t>
      </w:r>
      <w:r w:rsidRPr="00516AB2">
        <w:t>projetadas pelo cálculo atuarial</w:t>
      </w:r>
      <w:r w:rsidR="00CB2B46">
        <w:t>,</w:t>
      </w:r>
      <w:r w:rsidRPr="00516AB2">
        <w:t xml:space="preserve"> o que pode exigir maior flexibilidade nos </w:t>
      </w:r>
      <w:r>
        <w:t>níveis de liquidez da carteira</w:t>
      </w:r>
      <w:r w:rsidR="00AD34A3">
        <w:t xml:space="preserve"> de investimentos</w:t>
      </w:r>
      <w:r>
        <w:t xml:space="preserve">. Foram </w:t>
      </w:r>
      <w:r w:rsidRPr="00516AB2">
        <w:t>observados também, a compatibilidade dos ativos investidos com os prazo e taxas das obrigações presentes e futuras</w:t>
      </w:r>
      <w:r w:rsidR="005A176A">
        <w:t>.</w:t>
      </w:r>
    </w:p>
    <w:p w14:paraId="1E2BCEDD" w14:textId="4F25A69B" w:rsidR="009E1812" w:rsidRDefault="00E509C0" w:rsidP="00B62B8E">
      <w:r>
        <w:t xml:space="preserve">Para a elaboração </w:t>
      </w:r>
      <w:r w:rsidR="00766B72">
        <w:t xml:space="preserve">e </w:t>
      </w:r>
      <w:r>
        <w:t xml:space="preserve">definição dos limites apresentados foram considerados </w:t>
      </w:r>
      <w:r w:rsidR="00AD34A3">
        <w:t xml:space="preserve">inclusive </w:t>
      </w:r>
      <w:r w:rsidR="008A7C71">
        <w:t xml:space="preserve">as análises mercadológicas </w:t>
      </w:r>
      <w:r w:rsidR="009F5049">
        <w:t xml:space="preserve">e as perspectivas, bem como a compatibilidade dos ativos investidos atualmente pelo </w:t>
      </w:r>
      <w:r w:rsidR="00287991">
        <w:rPr>
          <w:b/>
          <w:bCs/>
          <w:color w:val="000000" w:themeColor="text1"/>
          <w:szCs w:val="20"/>
        </w:rPr>
        <w:t>MUNICÍ</w:t>
      </w:r>
      <w:r w:rsidR="00287991" w:rsidRPr="006053F5">
        <w:rPr>
          <w:b/>
          <w:bCs/>
          <w:color w:val="000000" w:themeColor="text1"/>
          <w:szCs w:val="20"/>
        </w:rPr>
        <w:t>PIO</w:t>
      </w:r>
      <w:r w:rsidR="00287991" w:rsidRPr="00716D43">
        <w:rPr>
          <w:b/>
          <w:color w:val="000000" w:themeColor="text1"/>
        </w:rPr>
        <w:t xml:space="preserve"> </w:t>
      </w:r>
      <w:r w:rsidR="0058722D" w:rsidRPr="00716D43">
        <w:rPr>
          <w:b/>
          <w:color w:val="000000" w:themeColor="text1"/>
        </w:rPr>
        <w:t>DE GUARACI</w:t>
      </w:r>
      <w:r w:rsidR="0058722D">
        <w:t xml:space="preserve"> </w:t>
      </w:r>
      <w:r w:rsidR="00C573F8">
        <w:t>com os prazos, montantes e taxas das obrigações atuariais presentes e futuras</w:t>
      </w:r>
      <w:r w:rsidR="004C5BF2">
        <w:t>.</w:t>
      </w:r>
    </w:p>
    <w:p w14:paraId="11ABC86F" w14:textId="6347BD2E" w:rsidR="009E1812" w:rsidRPr="0026139D" w:rsidRDefault="009E1812">
      <w:pPr>
        <w:pStyle w:val="Ttulo2"/>
      </w:pPr>
      <w:bookmarkStart w:id="39" w:name="_Toc435202742"/>
      <w:bookmarkStart w:id="40" w:name="_Toc490036547"/>
      <w:bookmarkStart w:id="41" w:name="_Toc118105140"/>
      <w:r w:rsidRPr="0026139D">
        <w:t>SEGMENTO DE RENDA FIXA</w:t>
      </w:r>
      <w:bookmarkEnd w:id="39"/>
      <w:bookmarkEnd w:id="40"/>
      <w:bookmarkEnd w:id="41"/>
    </w:p>
    <w:p w14:paraId="0634FD21" w14:textId="2A1D72E0" w:rsidR="009E1812" w:rsidRDefault="009E1812" w:rsidP="00B62B8E">
      <w:pPr>
        <w:rPr>
          <w:szCs w:val="20"/>
        </w:rPr>
      </w:pPr>
      <w:r w:rsidRPr="00516AB2">
        <w:rPr>
          <w:bCs/>
          <w:szCs w:val="20"/>
        </w:rPr>
        <w:t xml:space="preserve">Obedecendo os limites permitidos </w:t>
      </w:r>
      <w:r>
        <w:rPr>
          <w:bCs/>
          <w:szCs w:val="20"/>
        </w:rPr>
        <w:t xml:space="preserve">no segmento de renda fixa </w:t>
      </w:r>
      <w:r w:rsidRPr="00516AB2">
        <w:rPr>
          <w:bCs/>
          <w:szCs w:val="20"/>
        </w:rPr>
        <w:t xml:space="preserve">pela Resolução CMN n° </w:t>
      </w:r>
      <w:r w:rsidR="00284805">
        <w:rPr>
          <w:bCs/>
          <w:szCs w:val="20"/>
        </w:rPr>
        <w:t>4.963/2021</w:t>
      </w:r>
      <w:r w:rsidRPr="00516AB2">
        <w:rPr>
          <w:bCs/>
          <w:szCs w:val="20"/>
        </w:rPr>
        <w:t>,</w:t>
      </w:r>
      <w:r>
        <w:rPr>
          <w:bCs/>
          <w:szCs w:val="20"/>
        </w:rPr>
        <w:t xml:space="preserve"> o </w:t>
      </w:r>
      <w:r w:rsidR="00287991">
        <w:rPr>
          <w:b/>
          <w:bCs/>
          <w:color w:val="000000" w:themeColor="text1"/>
          <w:szCs w:val="20"/>
        </w:rPr>
        <w:t>MUNICÍ</w:t>
      </w:r>
      <w:r w:rsidR="00287991" w:rsidRPr="006053F5">
        <w:rPr>
          <w:b/>
          <w:bCs/>
          <w:color w:val="000000" w:themeColor="text1"/>
          <w:szCs w:val="20"/>
        </w:rPr>
        <w:t>PIO</w:t>
      </w:r>
      <w:r w:rsidR="00287991" w:rsidRPr="00716D43">
        <w:rPr>
          <w:b/>
          <w:color w:val="000000" w:themeColor="text1"/>
        </w:rPr>
        <w:t xml:space="preserve"> </w:t>
      </w:r>
      <w:r w:rsidR="0058722D" w:rsidRPr="00716D43">
        <w:rPr>
          <w:b/>
          <w:color w:val="000000" w:themeColor="text1"/>
        </w:rPr>
        <w:t>DE GUARACI</w:t>
      </w:r>
      <w:r w:rsidR="0058722D" w:rsidRPr="00516AB2">
        <w:rPr>
          <w:bCs/>
          <w:szCs w:val="20"/>
        </w:rPr>
        <w:t xml:space="preserve"> </w:t>
      </w:r>
      <w:r w:rsidRPr="00516AB2">
        <w:rPr>
          <w:bCs/>
          <w:szCs w:val="20"/>
        </w:rPr>
        <w:t xml:space="preserve">propõe-se </w:t>
      </w:r>
      <w:r w:rsidRPr="009E7C34">
        <w:rPr>
          <w:bCs/>
          <w:szCs w:val="20"/>
        </w:rPr>
        <w:t xml:space="preserve">adotar o </w:t>
      </w:r>
      <w:r w:rsidRPr="009E7C34">
        <w:rPr>
          <w:b/>
          <w:bCs/>
          <w:szCs w:val="20"/>
        </w:rPr>
        <w:t>limite de máximo de</w:t>
      </w:r>
      <w:r w:rsidR="00284805" w:rsidRPr="009E7C34">
        <w:rPr>
          <w:b/>
          <w:bCs/>
          <w:szCs w:val="20"/>
        </w:rPr>
        <w:t xml:space="preserve"> </w:t>
      </w:r>
      <w:r w:rsidR="00287991" w:rsidRPr="00287991">
        <w:rPr>
          <w:b/>
          <w:bCs/>
          <w:color w:val="000000" w:themeColor="text1"/>
          <w:szCs w:val="20"/>
        </w:rPr>
        <w:t>100</w:t>
      </w:r>
      <w:r w:rsidR="00284805" w:rsidRPr="00287991">
        <w:rPr>
          <w:b/>
          <w:bCs/>
          <w:color w:val="000000" w:themeColor="text1"/>
          <w:szCs w:val="20"/>
        </w:rPr>
        <w:t>% (</w:t>
      </w:r>
      <w:r w:rsidR="00287991" w:rsidRPr="00287991">
        <w:rPr>
          <w:b/>
          <w:bCs/>
          <w:color w:val="000000" w:themeColor="text1"/>
          <w:szCs w:val="20"/>
        </w:rPr>
        <w:t>cem</w:t>
      </w:r>
      <w:r w:rsidR="001851B5" w:rsidRPr="00287991">
        <w:rPr>
          <w:b/>
          <w:bCs/>
          <w:color w:val="000000" w:themeColor="text1"/>
          <w:szCs w:val="20"/>
        </w:rPr>
        <w:t xml:space="preserve"> </w:t>
      </w:r>
      <w:r w:rsidR="00284805" w:rsidRPr="00287991">
        <w:rPr>
          <w:b/>
          <w:bCs/>
          <w:color w:val="000000" w:themeColor="text1"/>
          <w:szCs w:val="20"/>
        </w:rPr>
        <w:t xml:space="preserve">por cento) </w:t>
      </w:r>
      <w:r w:rsidRPr="009E7C34">
        <w:rPr>
          <w:b/>
          <w:bCs/>
          <w:szCs w:val="20"/>
        </w:rPr>
        <w:t>dos investimentos.</w:t>
      </w:r>
    </w:p>
    <w:p w14:paraId="5A8DF5B2" w14:textId="4EF4DC1F" w:rsidR="002A5966" w:rsidRDefault="009E1812" w:rsidP="00B62B8E">
      <w:pPr>
        <w:rPr>
          <w:bCs/>
          <w:szCs w:val="20"/>
        </w:rPr>
      </w:pPr>
      <w:r w:rsidRPr="00516AB2">
        <w:rPr>
          <w:bCs/>
          <w:szCs w:val="20"/>
        </w:rPr>
        <w:t xml:space="preserve">A negociação de </w:t>
      </w:r>
      <w:r w:rsidRPr="009E7C34">
        <w:rPr>
          <w:bCs/>
          <w:szCs w:val="20"/>
        </w:rPr>
        <w:t xml:space="preserve">títulos </w:t>
      </w:r>
      <w:r w:rsidR="0047675F" w:rsidRPr="009E7C34">
        <w:rPr>
          <w:bCs/>
          <w:szCs w:val="20"/>
        </w:rPr>
        <w:t>públicos</w:t>
      </w:r>
      <w:r w:rsidRPr="009E7C34">
        <w:rPr>
          <w:bCs/>
          <w:szCs w:val="20"/>
        </w:rPr>
        <w:t xml:space="preserve"> no mercado secundário (compra/venda de títulos públicos) obedecerá ao disposto</w:t>
      </w:r>
      <w:r w:rsidR="00462DEB" w:rsidRPr="009E7C34">
        <w:rPr>
          <w:bCs/>
          <w:szCs w:val="20"/>
        </w:rPr>
        <w:t xml:space="preserve"> no</w:t>
      </w:r>
      <w:r w:rsidRPr="00516AB2">
        <w:rPr>
          <w:bCs/>
          <w:szCs w:val="20"/>
        </w:rPr>
        <w:t xml:space="preserve"> Art. </w:t>
      </w:r>
      <w:r w:rsidR="000165AB">
        <w:rPr>
          <w:bCs/>
          <w:szCs w:val="20"/>
        </w:rPr>
        <w:t>7</w:t>
      </w:r>
      <w:r w:rsidRPr="00516AB2">
        <w:rPr>
          <w:bCs/>
          <w:szCs w:val="20"/>
        </w:rPr>
        <w:t xml:space="preserve">º, inciso I, alínea “a” da Resolução CMN n° </w:t>
      </w:r>
      <w:r w:rsidR="000165AB">
        <w:rPr>
          <w:bCs/>
          <w:szCs w:val="20"/>
        </w:rPr>
        <w:t>4.963/2021</w:t>
      </w:r>
      <w:r w:rsidRPr="00516AB2">
        <w:rPr>
          <w:bCs/>
          <w:szCs w:val="20"/>
        </w:rPr>
        <w:t>,</w:t>
      </w:r>
      <w:r w:rsidR="00334FF8">
        <w:rPr>
          <w:bCs/>
          <w:szCs w:val="20"/>
        </w:rPr>
        <w:t xml:space="preserve"> onde</w:t>
      </w:r>
      <w:r w:rsidRPr="00516AB2">
        <w:rPr>
          <w:bCs/>
          <w:szCs w:val="20"/>
        </w:rPr>
        <w:t xml:space="preserve"> deverão </w:t>
      </w:r>
      <w:r w:rsidR="00745900">
        <w:rPr>
          <w:bCs/>
          <w:szCs w:val="20"/>
        </w:rPr>
        <w:t xml:space="preserve">estar </w:t>
      </w:r>
      <w:r w:rsidR="00BB595F" w:rsidRPr="00516AB2">
        <w:rPr>
          <w:bCs/>
          <w:szCs w:val="20"/>
        </w:rPr>
        <w:t>registrados</w:t>
      </w:r>
      <w:r w:rsidR="002A5966">
        <w:rPr>
          <w:bCs/>
          <w:szCs w:val="20"/>
        </w:rPr>
        <w:t xml:space="preserve"> </w:t>
      </w:r>
      <w:r w:rsidR="00BB595F" w:rsidRPr="00516AB2">
        <w:rPr>
          <w:bCs/>
          <w:szCs w:val="20"/>
        </w:rPr>
        <w:t>no Sistema Especial de Liquidação e de Custódia (SELIC)</w:t>
      </w:r>
      <w:r w:rsidR="002A5966">
        <w:rPr>
          <w:bCs/>
          <w:szCs w:val="20"/>
        </w:rPr>
        <w:t>.</w:t>
      </w:r>
    </w:p>
    <w:p w14:paraId="72B4F98C" w14:textId="5F3F7825" w:rsidR="00BD3144" w:rsidRDefault="001D4B47" w:rsidP="00B62B8E">
      <w:pPr>
        <w:rPr>
          <w:bCs/>
          <w:szCs w:val="20"/>
        </w:rPr>
      </w:pPr>
      <w:r>
        <w:rPr>
          <w:bCs/>
          <w:szCs w:val="20"/>
        </w:rPr>
        <w:t>A</w:t>
      </w:r>
      <w:r w:rsidR="00E86783">
        <w:rPr>
          <w:bCs/>
          <w:szCs w:val="20"/>
        </w:rPr>
        <w:t xml:space="preserve"> </w:t>
      </w:r>
      <w:r w:rsidR="009E1812" w:rsidRPr="00516AB2">
        <w:rPr>
          <w:bCs/>
          <w:szCs w:val="20"/>
        </w:rPr>
        <w:t>comerciali</w:t>
      </w:r>
      <w:r w:rsidR="00E86783">
        <w:rPr>
          <w:bCs/>
          <w:szCs w:val="20"/>
        </w:rPr>
        <w:t xml:space="preserve">zação </w:t>
      </w:r>
      <w:r>
        <w:rPr>
          <w:bCs/>
          <w:szCs w:val="20"/>
        </w:rPr>
        <w:t xml:space="preserve">dos Títulos Públicos e demais Ativos Financeiros, </w:t>
      </w:r>
      <w:r w:rsidR="00E86783">
        <w:rPr>
          <w:bCs/>
          <w:szCs w:val="20"/>
        </w:rPr>
        <w:t>dever</w:t>
      </w:r>
      <w:r>
        <w:rPr>
          <w:bCs/>
          <w:szCs w:val="20"/>
        </w:rPr>
        <w:t>ão</w:t>
      </w:r>
      <w:r w:rsidR="00E86783">
        <w:rPr>
          <w:bCs/>
          <w:szCs w:val="20"/>
        </w:rPr>
        <w:t xml:space="preserve"> acontecer </w:t>
      </w:r>
      <w:r w:rsidR="00B939FC" w:rsidRPr="00516AB2">
        <w:rPr>
          <w:bCs/>
          <w:szCs w:val="20"/>
        </w:rPr>
        <w:t>através de plataforma</w:t>
      </w:r>
      <w:r w:rsidR="00E86783">
        <w:rPr>
          <w:bCs/>
          <w:szCs w:val="20"/>
        </w:rPr>
        <w:t>s</w:t>
      </w:r>
      <w:r w:rsidR="00B939FC" w:rsidRPr="00516AB2">
        <w:rPr>
          <w:bCs/>
          <w:szCs w:val="20"/>
        </w:rPr>
        <w:t xml:space="preserve"> eletrônica</w:t>
      </w:r>
      <w:r w:rsidR="00E86783">
        <w:rPr>
          <w:bCs/>
          <w:szCs w:val="20"/>
        </w:rPr>
        <w:t>s</w:t>
      </w:r>
      <w:r w:rsidR="00B939FC" w:rsidRPr="00516AB2">
        <w:rPr>
          <w:bCs/>
          <w:szCs w:val="20"/>
        </w:rPr>
        <w:t xml:space="preserve"> </w:t>
      </w:r>
      <w:r w:rsidR="00BB595F">
        <w:rPr>
          <w:bCs/>
          <w:szCs w:val="20"/>
        </w:rPr>
        <w:t>administradas por sistemas autorizados a funcionar pelo Banco Central do Brasil ou pela Comissão de Valores Mobiliários, nas suas respectivas áreas de competência, admitindo-se, ainda, aquisição em ofertas públicas do Tesouro Nacional por intermédio das instituições regularmente habilitadas</w:t>
      </w:r>
      <w:r w:rsidR="00BD3144">
        <w:rPr>
          <w:bCs/>
          <w:szCs w:val="20"/>
        </w:rPr>
        <w:t>.</w:t>
      </w:r>
    </w:p>
    <w:p w14:paraId="514972D0" w14:textId="4DA75E52" w:rsidR="009E1812" w:rsidRDefault="00FF3208" w:rsidP="00B62B8E">
      <w:pPr>
        <w:rPr>
          <w:bCs/>
          <w:szCs w:val="20"/>
        </w:rPr>
      </w:pPr>
      <w:r>
        <w:rPr>
          <w:bCs/>
          <w:szCs w:val="20"/>
        </w:rPr>
        <w:t xml:space="preserve">Na aquisição dos </w:t>
      </w:r>
      <w:r w:rsidR="009E1812">
        <w:rPr>
          <w:bCs/>
          <w:szCs w:val="20"/>
        </w:rPr>
        <w:t>Títulos Públicos Federais</w:t>
      </w:r>
      <w:r w:rsidR="003F2A45">
        <w:rPr>
          <w:bCs/>
          <w:szCs w:val="20"/>
        </w:rPr>
        <w:t xml:space="preserve"> </w:t>
      </w:r>
      <w:r w:rsidR="009E1812" w:rsidRPr="00924ED7">
        <w:rPr>
          <w:bCs/>
          <w:szCs w:val="20"/>
        </w:rPr>
        <w:t>contabilizados pelos respectivos custos de aquisição</w:t>
      </w:r>
      <w:r w:rsidR="009521CD">
        <w:rPr>
          <w:bCs/>
          <w:szCs w:val="20"/>
        </w:rPr>
        <w:t xml:space="preserve">, </w:t>
      </w:r>
      <w:r w:rsidR="009E1812" w:rsidRPr="00924ED7">
        <w:rPr>
          <w:bCs/>
          <w:szCs w:val="20"/>
        </w:rPr>
        <w:t xml:space="preserve">acrescidos dos rendimentos auferidos, </w:t>
      </w:r>
      <w:r w:rsidR="003F2A45">
        <w:rPr>
          <w:bCs/>
          <w:szCs w:val="20"/>
        </w:rPr>
        <w:t xml:space="preserve">o </w:t>
      </w:r>
      <w:r w:rsidR="00EF58E3">
        <w:rPr>
          <w:b/>
          <w:bCs/>
          <w:color w:val="000000" w:themeColor="text1"/>
          <w:szCs w:val="20"/>
        </w:rPr>
        <w:t>MUNICÍ</w:t>
      </w:r>
      <w:r w:rsidR="00EF58E3" w:rsidRPr="006053F5">
        <w:rPr>
          <w:b/>
          <w:bCs/>
          <w:color w:val="000000" w:themeColor="text1"/>
          <w:szCs w:val="20"/>
        </w:rPr>
        <w:t>PIO</w:t>
      </w:r>
      <w:r w:rsidR="00EF58E3" w:rsidRPr="00716D43">
        <w:rPr>
          <w:b/>
          <w:color w:val="000000" w:themeColor="text1"/>
        </w:rPr>
        <w:t xml:space="preserve"> </w:t>
      </w:r>
      <w:r w:rsidR="001555E3" w:rsidRPr="00716D43">
        <w:rPr>
          <w:b/>
          <w:color w:val="000000" w:themeColor="text1"/>
        </w:rPr>
        <w:t>DE GUARACI</w:t>
      </w:r>
      <w:r w:rsidR="001555E3" w:rsidRPr="00924ED7">
        <w:rPr>
          <w:bCs/>
          <w:szCs w:val="20"/>
        </w:rPr>
        <w:t xml:space="preserve"> </w:t>
      </w:r>
      <w:r w:rsidR="009E1812" w:rsidRPr="00924ED7">
        <w:rPr>
          <w:bCs/>
          <w:szCs w:val="20"/>
        </w:rPr>
        <w:t>de</w:t>
      </w:r>
      <w:r w:rsidR="003F2A45">
        <w:rPr>
          <w:bCs/>
          <w:szCs w:val="20"/>
        </w:rPr>
        <w:t>verá</w:t>
      </w:r>
      <w:r w:rsidR="009E1812" w:rsidRPr="00924ED7">
        <w:rPr>
          <w:bCs/>
          <w:szCs w:val="20"/>
        </w:rPr>
        <w:t xml:space="preserve"> </w:t>
      </w:r>
      <w:r w:rsidR="003F2A45">
        <w:rPr>
          <w:bCs/>
          <w:szCs w:val="20"/>
        </w:rPr>
        <w:t xml:space="preserve">cumprir </w:t>
      </w:r>
      <w:r w:rsidR="009E1812">
        <w:rPr>
          <w:bCs/>
          <w:szCs w:val="20"/>
        </w:rPr>
        <w:t xml:space="preserve">cumulativamente </w:t>
      </w:r>
      <w:r w:rsidR="009E1812" w:rsidRPr="00924ED7">
        <w:rPr>
          <w:bCs/>
          <w:szCs w:val="20"/>
        </w:rPr>
        <w:t xml:space="preserve">as exigências da Portaria n° </w:t>
      </w:r>
      <w:r w:rsidR="00220D81">
        <w:rPr>
          <w:bCs/>
          <w:szCs w:val="20"/>
        </w:rPr>
        <w:t>1</w:t>
      </w:r>
      <w:r w:rsidR="00EC1EA0">
        <w:rPr>
          <w:bCs/>
          <w:szCs w:val="20"/>
        </w:rPr>
        <w:t>.</w:t>
      </w:r>
      <w:r w:rsidR="00220D81">
        <w:rPr>
          <w:bCs/>
          <w:szCs w:val="20"/>
        </w:rPr>
        <w:t>467</w:t>
      </w:r>
      <w:r w:rsidR="009E1812" w:rsidRPr="00924ED7">
        <w:rPr>
          <w:bCs/>
          <w:szCs w:val="20"/>
        </w:rPr>
        <w:t xml:space="preserve">, de </w:t>
      </w:r>
      <w:r w:rsidR="00220D81">
        <w:rPr>
          <w:bCs/>
          <w:szCs w:val="20"/>
        </w:rPr>
        <w:t>02</w:t>
      </w:r>
      <w:r w:rsidR="009E1812" w:rsidRPr="00924ED7">
        <w:rPr>
          <w:bCs/>
          <w:szCs w:val="20"/>
        </w:rPr>
        <w:t xml:space="preserve"> de </w:t>
      </w:r>
      <w:r w:rsidR="00220D81">
        <w:rPr>
          <w:bCs/>
          <w:szCs w:val="20"/>
        </w:rPr>
        <w:t>junho</w:t>
      </w:r>
      <w:r w:rsidR="00220D81" w:rsidRPr="00924ED7">
        <w:rPr>
          <w:bCs/>
          <w:szCs w:val="20"/>
        </w:rPr>
        <w:t xml:space="preserve"> </w:t>
      </w:r>
      <w:r w:rsidR="009E1812" w:rsidRPr="00924ED7">
        <w:rPr>
          <w:bCs/>
          <w:szCs w:val="20"/>
        </w:rPr>
        <w:t xml:space="preserve">de </w:t>
      </w:r>
      <w:r w:rsidR="00220D81">
        <w:rPr>
          <w:bCs/>
          <w:szCs w:val="20"/>
        </w:rPr>
        <w:t>2022</w:t>
      </w:r>
      <w:r w:rsidR="00220D81" w:rsidRPr="00924ED7">
        <w:rPr>
          <w:bCs/>
          <w:szCs w:val="20"/>
        </w:rPr>
        <w:t xml:space="preserve"> </w:t>
      </w:r>
      <w:r w:rsidR="009E1812" w:rsidRPr="00924ED7">
        <w:rPr>
          <w:bCs/>
          <w:szCs w:val="20"/>
        </w:rPr>
        <w:t>sendo elas:</w:t>
      </w:r>
    </w:p>
    <w:p w14:paraId="3E3A0C4D" w14:textId="5C9A0718" w:rsidR="00B62B8E" w:rsidRDefault="003B362B" w:rsidP="00B62B8E">
      <w:pPr>
        <w:pStyle w:val="PargrafodaLista"/>
        <w:numPr>
          <w:ilvl w:val="0"/>
          <w:numId w:val="32"/>
        </w:numPr>
        <w:rPr>
          <w:bCs/>
          <w:szCs w:val="20"/>
        </w:rPr>
      </w:pPr>
      <w:r w:rsidRPr="00B62B8E">
        <w:rPr>
          <w:bCs/>
          <w:szCs w:val="20"/>
        </w:rPr>
        <w:t>Seja</w:t>
      </w:r>
      <w:r w:rsidR="009E1812" w:rsidRPr="00B62B8E">
        <w:rPr>
          <w:bCs/>
          <w:szCs w:val="20"/>
        </w:rPr>
        <w:t xml:space="preserve"> observada a sua compatibilidade com os prazos e taxas das obrigações presentes e futuras do RPPS;</w:t>
      </w:r>
    </w:p>
    <w:p w14:paraId="39801EE3" w14:textId="77777777" w:rsidR="00B62B8E" w:rsidRDefault="00B62B8E" w:rsidP="00B62B8E">
      <w:pPr>
        <w:pStyle w:val="PargrafodaLista"/>
        <w:rPr>
          <w:bCs/>
          <w:szCs w:val="20"/>
        </w:rPr>
      </w:pPr>
    </w:p>
    <w:p w14:paraId="37FF5121" w14:textId="1C0F08B9" w:rsidR="00B62B8E" w:rsidRDefault="003B362B" w:rsidP="00B62B8E">
      <w:pPr>
        <w:pStyle w:val="PargrafodaLista"/>
        <w:numPr>
          <w:ilvl w:val="0"/>
          <w:numId w:val="32"/>
        </w:numPr>
        <w:rPr>
          <w:bCs/>
          <w:szCs w:val="20"/>
        </w:rPr>
      </w:pPr>
      <w:r w:rsidRPr="00B62B8E">
        <w:rPr>
          <w:bCs/>
          <w:szCs w:val="20"/>
        </w:rPr>
        <w:t>Sejam</w:t>
      </w:r>
      <w:r w:rsidR="009E1812" w:rsidRPr="00B62B8E">
        <w:rPr>
          <w:bCs/>
          <w:szCs w:val="20"/>
        </w:rPr>
        <w:t xml:space="preserve"> classificados separadamente dos ativos para negociação, ou seja, daqueles adquiridos com o propósito de serem negociados, independentemente do prazo a decorrer da data da aquisição;</w:t>
      </w:r>
    </w:p>
    <w:p w14:paraId="58D827BF" w14:textId="77777777" w:rsidR="00B62B8E" w:rsidRPr="00B62B8E" w:rsidRDefault="00B62B8E" w:rsidP="00B62B8E">
      <w:pPr>
        <w:pStyle w:val="PargrafodaLista"/>
        <w:rPr>
          <w:bCs/>
          <w:szCs w:val="20"/>
        </w:rPr>
      </w:pPr>
    </w:p>
    <w:p w14:paraId="4828A276" w14:textId="07CE755B" w:rsidR="00B62B8E" w:rsidRDefault="003B362B" w:rsidP="00B62B8E">
      <w:pPr>
        <w:pStyle w:val="PargrafodaLista"/>
        <w:numPr>
          <w:ilvl w:val="0"/>
          <w:numId w:val="32"/>
        </w:numPr>
        <w:rPr>
          <w:bCs/>
          <w:szCs w:val="20"/>
        </w:rPr>
      </w:pPr>
      <w:r w:rsidRPr="00B62B8E">
        <w:rPr>
          <w:bCs/>
          <w:szCs w:val="20"/>
        </w:rPr>
        <w:t>Seja</w:t>
      </w:r>
      <w:r w:rsidR="009E1812" w:rsidRPr="00B62B8E">
        <w:rPr>
          <w:bCs/>
          <w:szCs w:val="20"/>
        </w:rPr>
        <w:t xml:space="preserve"> comprovada a intenção e capacidade financeira do RPPS de mantê-los em carteira até o vencimento; e</w:t>
      </w:r>
    </w:p>
    <w:p w14:paraId="59ED645A" w14:textId="77777777" w:rsidR="00B62B8E" w:rsidRPr="00B62B8E" w:rsidRDefault="00B62B8E" w:rsidP="00B62B8E">
      <w:pPr>
        <w:pStyle w:val="PargrafodaLista"/>
        <w:rPr>
          <w:bCs/>
          <w:szCs w:val="20"/>
        </w:rPr>
      </w:pPr>
    </w:p>
    <w:p w14:paraId="5084C97E" w14:textId="1678D6DD" w:rsidR="009E1812" w:rsidRPr="00B62B8E" w:rsidRDefault="003B362B" w:rsidP="00B62B8E">
      <w:pPr>
        <w:pStyle w:val="PargrafodaLista"/>
        <w:numPr>
          <w:ilvl w:val="0"/>
          <w:numId w:val="32"/>
        </w:numPr>
        <w:rPr>
          <w:bCs/>
          <w:szCs w:val="20"/>
        </w:rPr>
      </w:pPr>
      <w:r w:rsidRPr="00B62B8E">
        <w:rPr>
          <w:bCs/>
          <w:szCs w:val="20"/>
        </w:rPr>
        <w:lastRenderedPageBreak/>
        <w:t>Sejam</w:t>
      </w:r>
      <w:r w:rsidR="009E1812" w:rsidRPr="00B62B8E">
        <w:rPr>
          <w:bCs/>
          <w:szCs w:val="20"/>
        </w:rPr>
        <w:t xml:space="preserve"> atendidas as normas de atuária e de contabilidade aplicáveis aos RPPS, inclusive no que se refere à obrigatoriedade de divulgação das informações relativas aos títulos adquiridos, ao impacto nos resultados e aos requisitos e procedimentos, na hipótese de alteração da forma de precificação dos títulos de emissão do Tesouro Nacional.</w:t>
      </w:r>
    </w:p>
    <w:p w14:paraId="4FE37DD5" w14:textId="77777777" w:rsidR="005142C2" w:rsidRDefault="005142C2" w:rsidP="00B62B8E"/>
    <w:p w14:paraId="2CDE7E51" w14:textId="332E3616" w:rsidR="00C31F08" w:rsidRDefault="009E1812" w:rsidP="00276EFD">
      <w:pPr>
        <w:pStyle w:val="Ttulo1"/>
        <w:spacing w:before="360"/>
      </w:pPr>
      <w:bookmarkStart w:id="42" w:name="_Toc435202743"/>
      <w:bookmarkStart w:id="43" w:name="_Toc490036548"/>
      <w:bookmarkStart w:id="44" w:name="_Toc118105141"/>
      <w:r w:rsidRPr="0026139D">
        <w:t>SEGMENTO DE RENDA VARIÁVEL</w:t>
      </w:r>
      <w:bookmarkEnd w:id="42"/>
      <w:bookmarkEnd w:id="43"/>
      <w:r w:rsidR="00AE4DB6">
        <w:t xml:space="preserve">, </w:t>
      </w:r>
      <w:r w:rsidR="00BB5F9D">
        <w:t>INVESTIMENTOS ESTRUTURADOS E FUNDOS DE INVESTIMENTOS IMOBILIÁRIOS</w:t>
      </w:r>
      <w:bookmarkEnd w:id="44"/>
    </w:p>
    <w:p w14:paraId="785B8358" w14:textId="531C3E52" w:rsidR="007D41EE" w:rsidRDefault="00142D4C" w:rsidP="00B62B8E">
      <w:pPr>
        <w:rPr>
          <w:bCs/>
          <w:szCs w:val="20"/>
        </w:rPr>
      </w:pPr>
      <w:r w:rsidRPr="00516AB2">
        <w:rPr>
          <w:bCs/>
          <w:szCs w:val="20"/>
        </w:rPr>
        <w:t>Em relação ao</w:t>
      </w:r>
      <w:r w:rsidR="00BB5F9D">
        <w:rPr>
          <w:bCs/>
          <w:szCs w:val="20"/>
        </w:rPr>
        <w:t>s</w:t>
      </w:r>
      <w:r w:rsidRPr="00516AB2">
        <w:rPr>
          <w:bCs/>
          <w:szCs w:val="20"/>
        </w:rPr>
        <w:t xml:space="preserve"> segmento</w:t>
      </w:r>
      <w:r w:rsidR="00BB5F9D">
        <w:rPr>
          <w:bCs/>
          <w:szCs w:val="20"/>
        </w:rPr>
        <w:t>s</w:t>
      </w:r>
      <w:r w:rsidRPr="00516AB2">
        <w:rPr>
          <w:bCs/>
          <w:szCs w:val="20"/>
        </w:rPr>
        <w:t xml:space="preserve"> de renda variável, </w:t>
      </w:r>
      <w:r w:rsidR="00BB5F9D">
        <w:rPr>
          <w:bCs/>
          <w:szCs w:val="20"/>
        </w:rPr>
        <w:t xml:space="preserve">investimentos </w:t>
      </w:r>
      <w:r w:rsidR="00627121">
        <w:rPr>
          <w:bCs/>
          <w:szCs w:val="20"/>
        </w:rPr>
        <w:t xml:space="preserve">estruturados e fundos de investimentos imobiliários, </w:t>
      </w:r>
      <w:r w:rsidR="00655368">
        <w:rPr>
          <w:bCs/>
          <w:szCs w:val="20"/>
        </w:rPr>
        <w:t>a Resolução CMN nº 4.</w:t>
      </w:r>
      <w:r w:rsidR="00247F55">
        <w:rPr>
          <w:bCs/>
          <w:szCs w:val="20"/>
        </w:rPr>
        <w:t>96</w:t>
      </w:r>
      <w:r w:rsidR="00655368">
        <w:rPr>
          <w:bCs/>
          <w:szCs w:val="20"/>
        </w:rPr>
        <w:t>3/2021</w:t>
      </w:r>
      <w:r w:rsidR="00247F55">
        <w:rPr>
          <w:bCs/>
          <w:szCs w:val="20"/>
        </w:rPr>
        <w:t xml:space="preserve"> estabelece que o</w:t>
      </w:r>
      <w:r w:rsidRPr="00516AB2">
        <w:rPr>
          <w:bCs/>
          <w:szCs w:val="20"/>
        </w:rPr>
        <w:t xml:space="preserve"> </w:t>
      </w:r>
      <w:r w:rsidR="00247F55">
        <w:rPr>
          <w:bCs/>
          <w:szCs w:val="20"/>
        </w:rPr>
        <w:t xml:space="preserve">limite </w:t>
      </w:r>
      <w:r w:rsidRPr="001F46FF">
        <w:rPr>
          <w:bCs/>
          <w:szCs w:val="20"/>
        </w:rPr>
        <w:t xml:space="preserve">legal </w:t>
      </w:r>
      <w:r w:rsidR="00247F55">
        <w:rPr>
          <w:bCs/>
          <w:szCs w:val="20"/>
        </w:rPr>
        <w:t>d</w:t>
      </w:r>
      <w:r w:rsidRPr="001F46FF">
        <w:rPr>
          <w:bCs/>
          <w:szCs w:val="20"/>
        </w:rPr>
        <w:t xml:space="preserve">os recursos alocados nos </w:t>
      </w:r>
      <w:r w:rsidR="007D41EE">
        <w:rPr>
          <w:bCs/>
          <w:szCs w:val="20"/>
        </w:rPr>
        <w:t>segmentos</w:t>
      </w:r>
      <w:r w:rsidRPr="001F46FF">
        <w:rPr>
          <w:bCs/>
          <w:szCs w:val="20"/>
        </w:rPr>
        <w:t xml:space="preserve">, </w:t>
      </w:r>
      <w:r w:rsidR="00EC548A">
        <w:rPr>
          <w:bCs/>
          <w:szCs w:val="20"/>
        </w:rPr>
        <w:t xml:space="preserve">não </w:t>
      </w:r>
      <w:r w:rsidR="007D41EE">
        <w:rPr>
          <w:bCs/>
          <w:szCs w:val="20"/>
        </w:rPr>
        <w:t xml:space="preserve">poderão </w:t>
      </w:r>
      <w:r w:rsidR="00EC548A">
        <w:rPr>
          <w:bCs/>
          <w:szCs w:val="20"/>
        </w:rPr>
        <w:t>e</w:t>
      </w:r>
      <w:r w:rsidRPr="001F46FF">
        <w:rPr>
          <w:bCs/>
          <w:szCs w:val="20"/>
        </w:rPr>
        <w:t>xced</w:t>
      </w:r>
      <w:r w:rsidR="007D41EE">
        <w:rPr>
          <w:bCs/>
          <w:szCs w:val="20"/>
        </w:rPr>
        <w:t>er</w:t>
      </w:r>
      <w:r w:rsidR="00EC548A">
        <w:rPr>
          <w:bCs/>
          <w:szCs w:val="20"/>
        </w:rPr>
        <w:t xml:space="preserve"> cumulativamente </w:t>
      </w:r>
      <w:r w:rsidR="007D41EE">
        <w:rPr>
          <w:bCs/>
          <w:szCs w:val="20"/>
        </w:rPr>
        <w:t xml:space="preserve">ao limite de </w:t>
      </w:r>
      <w:r w:rsidR="001555E3" w:rsidRPr="00EF58E3">
        <w:rPr>
          <w:b/>
          <w:bCs/>
          <w:color w:val="000000" w:themeColor="text1"/>
          <w:szCs w:val="20"/>
        </w:rPr>
        <w:t xml:space="preserve">30,00% </w:t>
      </w:r>
      <w:r w:rsidR="001555E3">
        <w:rPr>
          <w:b/>
          <w:bCs/>
          <w:color w:val="000000" w:themeColor="text1"/>
          <w:szCs w:val="20"/>
        </w:rPr>
        <w:t>(trinta por cento)</w:t>
      </w:r>
      <w:r w:rsidRPr="001F46FF">
        <w:rPr>
          <w:bCs/>
          <w:szCs w:val="20"/>
        </w:rPr>
        <w:t xml:space="preserve"> da</w:t>
      </w:r>
      <w:r w:rsidRPr="00516AB2">
        <w:rPr>
          <w:bCs/>
          <w:szCs w:val="20"/>
        </w:rPr>
        <w:t xml:space="preserve"> totalidade dos recursos em moeda corrente</w:t>
      </w:r>
      <w:r w:rsidR="007D41EE">
        <w:rPr>
          <w:bCs/>
          <w:szCs w:val="20"/>
        </w:rPr>
        <w:t>.</w:t>
      </w:r>
    </w:p>
    <w:p w14:paraId="4491C819" w14:textId="12562BB1" w:rsidR="00142D4C" w:rsidRDefault="00A2705C" w:rsidP="00B62B8E">
      <w:pPr>
        <w:rPr>
          <w:b/>
          <w:bCs/>
          <w:szCs w:val="20"/>
        </w:rPr>
      </w:pPr>
      <w:r>
        <w:rPr>
          <w:bCs/>
          <w:szCs w:val="20"/>
        </w:rPr>
        <w:t>Neste sentido, o</w:t>
      </w:r>
      <w:r w:rsidR="00142D4C">
        <w:rPr>
          <w:bCs/>
          <w:szCs w:val="20"/>
        </w:rPr>
        <w:t xml:space="preserve"> </w:t>
      </w:r>
      <w:r w:rsidR="00EF58E3">
        <w:rPr>
          <w:b/>
          <w:bCs/>
          <w:color w:val="000000" w:themeColor="text1"/>
          <w:szCs w:val="20"/>
        </w:rPr>
        <w:t>MUNICÍ</w:t>
      </w:r>
      <w:r w:rsidR="00EF58E3" w:rsidRPr="006053F5">
        <w:rPr>
          <w:b/>
          <w:bCs/>
          <w:color w:val="000000" w:themeColor="text1"/>
          <w:szCs w:val="20"/>
        </w:rPr>
        <w:t>PIO</w:t>
      </w:r>
      <w:r w:rsidR="00EF58E3" w:rsidRPr="00716D43">
        <w:rPr>
          <w:b/>
          <w:color w:val="000000" w:themeColor="text1"/>
        </w:rPr>
        <w:t xml:space="preserve"> </w:t>
      </w:r>
      <w:r w:rsidR="001555E3" w:rsidRPr="00716D43">
        <w:rPr>
          <w:b/>
          <w:color w:val="000000" w:themeColor="text1"/>
        </w:rPr>
        <w:t>DE GUARACI</w:t>
      </w:r>
      <w:r w:rsidR="00142D4C">
        <w:rPr>
          <w:bCs/>
          <w:szCs w:val="20"/>
        </w:rPr>
        <w:t xml:space="preserve"> propõe adotar </w:t>
      </w:r>
      <w:r w:rsidR="007D41EE">
        <w:rPr>
          <w:bCs/>
          <w:szCs w:val="20"/>
        </w:rPr>
        <w:t>como</w:t>
      </w:r>
      <w:r w:rsidR="00142D4C">
        <w:rPr>
          <w:bCs/>
          <w:szCs w:val="20"/>
        </w:rPr>
        <w:t xml:space="preserve"> </w:t>
      </w:r>
      <w:r w:rsidR="00142D4C" w:rsidRPr="00516AB2">
        <w:rPr>
          <w:b/>
          <w:bCs/>
          <w:szCs w:val="20"/>
        </w:rPr>
        <w:t>limit</w:t>
      </w:r>
      <w:r w:rsidR="00142D4C">
        <w:rPr>
          <w:b/>
          <w:bCs/>
          <w:szCs w:val="20"/>
        </w:rPr>
        <w:t xml:space="preserve">e máximo </w:t>
      </w:r>
      <w:r w:rsidR="007D41EE">
        <w:rPr>
          <w:b/>
          <w:bCs/>
          <w:szCs w:val="20"/>
        </w:rPr>
        <w:t xml:space="preserve">o percentual </w:t>
      </w:r>
      <w:r w:rsidR="007D41EE" w:rsidRPr="00A72BBB">
        <w:rPr>
          <w:b/>
          <w:bCs/>
          <w:szCs w:val="20"/>
        </w:rPr>
        <w:t>de</w:t>
      </w:r>
      <w:r w:rsidR="00142D4C" w:rsidRPr="00A72BBB">
        <w:rPr>
          <w:b/>
          <w:bCs/>
          <w:szCs w:val="20"/>
        </w:rPr>
        <w:t xml:space="preserve"> </w:t>
      </w:r>
      <w:r w:rsidR="001555E3" w:rsidRPr="001555E3">
        <w:rPr>
          <w:b/>
          <w:bCs/>
          <w:color w:val="000000" w:themeColor="text1"/>
          <w:szCs w:val="20"/>
        </w:rPr>
        <w:t>30,00</w:t>
      </w:r>
      <w:r w:rsidR="00142D4C" w:rsidRPr="001555E3">
        <w:rPr>
          <w:b/>
          <w:bCs/>
          <w:color w:val="000000" w:themeColor="text1"/>
          <w:szCs w:val="20"/>
        </w:rPr>
        <w:t xml:space="preserve">% </w:t>
      </w:r>
      <w:r w:rsidR="001555E3">
        <w:rPr>
          <w:b/>
          <w:bCs/>
          <w:color w:val="000000" w:themeColor="text1"/>
          <w:szCs w:val="20"/>
        </w:rPr>
        <w:t xml:space="preserve">(trinta por cento) </w:t>
      </w:r>
      <w:r w:rsidR="00142D4C" w:rsidRPr="00A72BBB">
        <w:rPr>
          <w:b/>
          <w:bCs/>
          <w:szCs w:val="20"/>
        </w:rPr>
        <w:t>da totalidade</w:t>
      </w:r>
      <w:r w:rsidR="00142D4C" w:rsidRPr="00516AB2">
        <w:rPr>
          <w:b/>
          <w:bCs/>
          <w:szCs w:val="20"/>
        </w:rPr>
        <w:t xml:space="preserve"> dos</w:t>
      </w:r>
      <w:r w:rsidR="00A72BBB">
        <w:rPr>
          <w:b/>
          <w:bCs/>
          <w:szCs w:val="20"/>
        </w:rPr>
        <w:t xml:space="preserve"> recursos</w:t>
      </w:r>
      <w:r w:rsidR="00E64BCB">
        <w:rPr>
          <w:b/>
          <w:bCs/>
          <w:szCs w:val="20"/>
        </w:rPr>
        <w:t>.</w:t>
      </w:r>
    </w:p>
    <w:p w14:paraId="3C45F806" w14:textId="37D0A16C" w:rsidR="00BB5F9D" w:rsidRDefault="00BB5F9D" w:rsidP="00B62B8E">
      <w:pPr>
        <w:rPr>
          <w:bCs/>
          <w:szCs w:val="20"/>
        </w:rPr>
      </w:pPr>
      <w:r w:rsidRPr="00516AB2">
        <w:rPr>
          <w:bCs/>
          <w:szCs w:val="20"/>
        </w:rPr>
        <w:t xml:space="preserve">São considerados como investimentos estruturados segundo Resolução CMN n° </w:t>
      </w:r>
      <w:r w:rsidR="00EC1EA0">
        <w:rPr>
          <w:bCs/>
          <w:szCs w:val="20"/>
        </w:rPr>
        <w:t>4.963/2021</w:t>
      </w:r>
      <w:r w:rsidRPr="00516AB2">
        <w:rPr>
          <w:bCs/>
          <w:szCs w:val="20"/>
        </w:rPr>
        <w:t>, os fundos de investimento classificados como multimercado</w:t>
      </w:r>
      <w:r>
        <w:rPr>
          <w:bCs/>
          <w:szCs w:val="20"/>
        </w:rPr>
        <w:t xml:space="preserve">, </w:t>
      </w:r>
      <w:r w:rsidRPr="00516AB2">
        <w:rPr>
          <w:bCs/>
          <w:szCs w:val="20"/>
        </w:rPr>
        <w:t>os fundos de investimento em participações</w:t>
      </w:r>
      <w:r>
        <w:rPr>
          <w:bCs/>
          <w:szCs w:val="20"/>
        </w:rPr>
        <w:t xml:space="preserve"> </w:t>
      </w:r>
      <w:r w:rsidRPr="00516AB2">
        <w:rPr>
          <w:bCs/>
          <w:szCs w:val="20"/>
        </w:rPr>
        <w:t xml:space="preserve">- </w:t>
      </w:r>
      <w:proofErr w:type="spellStart"/>
      <w:r w:rsidRPr="00516AB2">
        <w:rPr>
          <w:bCs/>
          <w:szCs w:val="20"/>
        </w:rPr>
        <w:t>FIPs</w:t>
      </w:r>
      <w:proofErr w:type="spellEnd"/>
      <w:r>
        <w:rPr>
          <w:bCs/>
          <w:szCs w:val="20"/>
        </w:rPr>
        <w:t xml:space="preserve"> e os fundos de investimento classificados como “Ações – Mercado de Acesso”</w:t>
      </w:r>
      <w:r w:rsidRPr="00516AB2">
        <w:rPr>
          <w:bCs/>
          <w:szCs w:val="20"/>
        </w:rPr>
        <w:t>.</w:t>
      </w:r>
    </w:p>
    <w:p w14:paraId="0DB16F3E" w14:textId="77777777" w:rsidR="000C7E83" w:rsidRDefault="000C7E83">
      <w:pPr>
        <w:pStyle w:val="Ttulo2"/>
      </w:pPr>
      <w:bookmarkStart w:id="45" w:name="_Toc118105142"/>
      <w:r>
        <w:t>SEGMENTO DE INVESTIMENTOS NO EXTERIOR</w:t>
      </w:r>
      <w:bookmarkEnd w:id="45"/>
    </w:p>
    <w:p w14:paraId="234A60D4" w14:textId="35A853E8" w:rsidR="0040464A" w:rsidRDefault="00C17A63" w:rsidP="00B62B8E">
      <w:pPr>
        <w:rPr>
          <w:bCs/>
          <w:szCs w:val="20"/>
        </w:rPr>
      </w:pPr>
      <w:r>
        <w:rPr>
          <w:bCs/>
          <w:szCs w:val="20"/>
        </w:rPr>
        <w:t>No</w:t>
      </w:r>
      <w:r w:rsidR="007F09AE">
        <w:rPr>
          <w:bCs/>
          <w:szCs w:val="20"/>
        </w:rPr>
        <w:t xml:space="preserve"> segmento classificado como “Investimentos no Exter</w:t>
      </w:r>
      <w:r w:rsidR="00BC670A">
        <w:rPr>
          <w:bCs/>
          <w:szCs w:val="20"/>
        </w:rPr>
        <w:t>i</w:t>
      </w:r>
      <w:r w:rsidR="007F09AE">
        <w:rPr>
          <w:bCs/>
          <w:szCs w:val="20"/>
        </w:rPr>
        <w:t>or”</w:t>
      </w:r>
      <w:r w:rsidR="0040464A" w:rsidRPr="00516AB2">
        <w:rPr>
          <w:bCs/>
          <w:szCs w:val="20"/>
        </w:rPr>
        <w:t xml:space="preserve">, </w:t>
      </w:r>
      <w:r w:rsidR="0040464A">
        <w:rPr>
          <w:bCs/>
          <w:szCs w:val="20"/>
        </w:rPr>
        <w:t xml:space="preserve">a Resolução CMN nº 4.963/2021 estabelece que </w:t>
      </w:r>
      <w:r w:rsidR="006B6001">
        <w:rPr>
          <w:bCs/>
          <w:szCs w:val="20"/>
        </w:rPr>
        <w:t>o</w:t>
      </w:r>
      <w:r w:rsidR="006B6001" w:rsidRPr="00516AB2">
        <w:rPr>
          <w:bCs/>
          <w:szCs w:val="20"/>
        </w:rPr>
        <w:t xml:space="preserve"> </w:t>
      </w:r>
      <w:r w:rsidR="006B6001">
        <w:rPr>
          <w:bCs/>
          <w:szCs w:val="20"/>
        </w:rPr>
        <w:t xml:space="preserve">limite </w:t>
      </w:r>
      <w:r w:rsidR="006B6001" w:rsidRPr="001F46FF">
        <w:rPr>
          <w:bCs/>
          <w:szCs w:val="20"/>
        </w:rPr>
        <w:t xml:space="preserve">legal </w:t>
      </w:r>
      <w:r w:rsidR="006B6001">
        <w:rPr>
          <w:bCs/>
          <w:szCs w:val="20"/>
        </w:rPr>
        <w:t>d</w:t>
      </w:r>
      <w:r w:rsidR="006B6001" w:rsidRPr="001F46FF">
        <w:rPr>
          <w:bCs/>
          <w:szCs w:val="20"/>
        </w:rPr>
        <w:t>os recursos alocado</w:t>
      </w:r>
      <w:r w:rsidR="006B6001">
        <w:rPr>
          <w:bCs/>
          <w:szCs w:val="20"/>
        </w:rPr>
        <w:t>s</w:t>
      </w:r>
      <w:r w:rsidR="006B6001" w:rsidRPr="001F46FF">
        <w:rPr>
          <w:bCs/>
          <w:szCs w:val="20"/>
        </w:rPr>
        <w:t xml:space="preserve"> </w:t>
      </w:r>
      <w:r w:rsidR="006B6001">
        <w:rPr>
          <w:bCs/>
          <w:szCs w:val="20"/>
        </w:rPr>
        <w:t>não poderá</w:t>
      </w:r>
      <w:r w:rsidR="0040464A">
        <w:rPr>
          <w:bCs/>
          <w:szCs w:val="20"/>
        </w:rPr>
        <w:t xml:space="preserve"> e</w:t>
      </w:r>
      <w:r w:rsidR="0040464A" w:rsidRPr="001F46FF">
        <w:rPr>
          <w:bCs/>
          <w:szCs w:val="20"/>
        </w:rPr>
        <w:t>xced</w:t>
      </w:r>
      <w:r w:rsidR="0040464A">
        <w:rPr>
          <w:bCs/>
          <w:szCs w:val="20"/>
        </w:rPr>
        <w:t xml:space="preserve">er cumulativamente ao limite de </w:t>
      </w:r>
      <w:r w:rsidR="006739BC">
        <w:rPr>
          <w:bCs/>
          <w:szCs w:val="20"/>
        </w:rPr>
        <w:t>1</w:t>
      </w:r>
      <w:r w:rsidR="0040464A" w:rsidRPr="001F46FF">
        <w:rPr>
          <w:bCs/>
          <w:szCs w:val="20"/>
        </w:rPr>
        <w:t>0% (</w:t>
      </w:r>
      <w:r w:rsidR="006739BC">
        <w:rPr>
          <w:bCs/>
          <w:szCs w:val="20"/>
        </w:rPr>
        <w:t>dez por cento</w:t>
      </w:r>
      <w:r w:rsidR="0040464A" w:rsidRPr="001F46FF">
        <w:rPr>
          <w:bCs/>
          <w:szCs w:val="20"/>
        </w:rPr>
        <w:t>) da</w:t>
      </w:r>
      <w:r w:rsidR="0040464A" w:rsidRPr="00516AB2">
        <w:rPr>
          <w:bCs/>
          <w:szCs w:val="20"/>
        </w:rPr>
        <w:t xml:space="preserve"> totalidade dos recursos em moeda corrente</w:t>
      </w:r>
      <w:r w:rsidR="0040464A">
        <w:rPr>
          <w:bCs/>
          <w:szCs w:val="20"/>
        </w:rPr>
        <w:t>.</w:t>
      </w:r>
    </w:p>
    <w:p w14:paraId="7D703D14" w14:textId="2AF3880D" w:rsidR="006B6001" w:rsidRDefault="006B6001" w:rsidP="00B62B8E">
      <w:pPr>
        <w:rPr>
          <w:b/>
          <w:bCs/>
          <w:szCs w:val="20"/>
        </w:rPr>
      </w:pPr>
      <w:r>
        <w:rPr>
          <w:bCs/>
          <w:szCs w:val="20"/>
        </w:rPr>
        <w:t xml:space="preserve">Neste sentido, o </w:t>
      </w:r>
      <w:r w:rsidR="00EF58E3">
        <w:rPr>
          <w:b/>
          <w:bCs/>
          <w:color w:val="000000" w:themeColor="text1"/>
          <w:szCs w:val="20"/>
        </w:rPr>
        <w:t>MUNICÍ</w:t>
      </w:r>
      <w:r w:rsidR="00EF58E3" w:rsidRPr="006053F5">
        <w:rPr>
          <w:b/>
          <w:bCs/>
          <w:color w:val="000000" w:themeColor="text1"/>
          <w:szCs w:val="20"/>
        </w:rPr>
        <w:t>PIO</w:t>
      </w:r>
      <w:r w:rsidR="00EF58E3" w:rsidRPr="00716D43">
        <w:rPr>
          <w:b/>
          <w:color w:val="000000" w:themeColor="text1"/>
        </w:rPr>
        <w:t xml:space="preserve"> </w:t>
      </w:r>
      <w:r w:rsidR="001555E3" w:rsidRPr="00716D43">
        <w:rPr>
          <w:b/>
          <w:color w:val="000000" w:themeColor="text1"/>
        </w:rPr>
        <w:t>DE GUARACI</w:t>
      </w:r>
      <w:r>
        <w:rPr>
          <w:bCs/>
          <w:szCs w:val="20"/>
        </w:rPr>
        <w:t xml:space="preserve"> propõe adotar como </w:t>
      </w:r>
      <w:r w:rsidRPr="00516AB2">
        <w:rPr>
          <w:b/>
          <w:bCs/>
          <w:szCs w:val="20"/>
        </w:rPr>
        <w:t>limit</w:t>
      </w:r>
      <w:r>
        <w:rPr>
          <w:b/>
          <w:bCs/>
          <w:szCs w:val="20"/>
        </w:rPr>
        <w:t xml:space="preserve">e máximo o percentual </w:t>
      </w:r>
      <w:r w:rsidRPr="00A72BBB">
        <w:rPr>
          <w:b/>
          <w:bCs/>
          <w:szCs w:val="20"/>
        </w:rPr>
        <w:t xml:space="preserve">de </w:t>
      </w:r>
      <w:r w:rsidR="001555E3" w:rsidRPr="001555E3">
        <w:rPr>
          <w:b/>
          <w:bCs/>
          <w:color w:val="000000" w:themeColor="text1"/>
          <w:szCs w:val="20"/>
        </w:rPr>
        <w:t>10,00</w:t>
      </w:r>
      <w:r w:rsidRPr="001555E3">
        <w:rPr>
          <w:b/>
          <w:bCs/>
          <w:color w:val="000000" w:themeColor="text1"/>
          <w:szCs w:val="20"/>
        </w:rPr>
        <w:t>% (</w:t>
      </w:r>
      <w:r w:rsidR="001555E3" w:rsidRPr="001555E3">
        <w:rPr>
          <w:b/>
          <w:bCs/>
          <w:color w:val="000000" w:themeColor="text1"/>
          <w:szCs w:val="20"/>
        </w:rPr>
        <w:t>dez por cento</w:t>
      </w:r>
      <w:r w:rsidRPr="001555E3">
        <w:rPr>
          <w:b/>
          <w:bCs/>
          <w:color w:val="000000" w:themeColor="text1"/>
          <w:szCs w:val="20"/>
        </w:rPr>
        <w:t xml:space="preserve">) </w:t>
      </w:r>
      <w:r w:rsidRPr="00A72BBB">
        <w:rPr>
          <w:b/>
          <w:bCs/>
          <w:szCs w:val="20"/>
        </w:rPr>
        <w:t>da totalidade</w:t>
      </w:r>
      <w:r w:rsidRPr="00516AB2">
        <w:rPr>
          <w:b/>
          <w:bCs/>
          <w:szCs w:val="20"/>
        </w:rPr>
        <w:t xml:space="preserve"> dos</w:t>
      </w:r>
      <w:r>
        <w:rPr>
          <w:b/>
          <w:bCs/>
          <w:szCs w:val="20"/>
        </w:rPr>
        <w:t xml:space="preserve"> recursos.</w:t>
      </w:r>
    </w:p>
    <w:p w14:paraId="3EB93750" w14:textId="77777777" w:rsidR="000F7DE0" w:rsidRDefault="000F7DE0" w:rsidP="00B62B8E">
      <w:r w:rsidRPr="000F7DE0">
        <w:t>Deverão ser considerados apenas os fundos de investimentos constituídos no exterior que possuam histórico de 12 (doze) meses, que seus gestores estejam em atividade há mais de 5 (cinco) anos e administrem o montante de recursos de terceiros equivalente a US$ 5 bilhões de dólares na data do aporte.</w:t>
      </w:r>
    </w:p>
    <w:p w14:paraId="2A125DD4" w14:textId="1259317D" w:rsidR="0014443E" w:rsidRDefault="0014443E" w:rsidP="00276EFD">
      <w:pPr>
        <w:pStyle w:val="Ttulo3"/>
      </w:pPr>
      <w:bookmarkStart w:id="46" w:name="_Toc118105143"/>
      <w:r>
        <w:t>EMPRÉSTIMO CONSIGNADO</w:t>
      </w:r>
      <w:bookmarkEnd w:id="46"/>
    </w:p>
    <w:p w14:paraId="2993450E" w14:textId="6B9AD1A9" w:rsidR="00CD5562" w:rsidRDefault="00C17A63" w:rsidP="00B62B8E">
      <w:r>
        <w:t xml:space="preserve">Para o segmento de </w:t>
      </w:r>
      <w:r w:rsidR="00E95E2F">
        <w:t>empréstimos a segurados</w:t>
      </w:r>
      <w:r w:rsidR="002A7276">
        <w:t xml:space="preserve"> </w:t>
      </w:r>
      <w:r w:rsidR="00304F8C" w:rsidRPr="00304F8C">
        <w:t>em atividade, aposentados e pensionistas</w:t>
      </w:r>
      <w:r w:rsidR="00E95E2F">
        <w:t>, na modalidade consignados</w:t>
      </w:r>
      <w:r w:rsidR="00ED17B2">
        <w:t xml:space="preserve">, </w:t>
      </w:r>
      <w:r w:rsidR="00ED17B2">
        <w:rPr>
          <w:bCs/>
          <w:szCs w:val="20"/>
        </w:rPr>
        <w:t>a Resolução CMN nº 4.963/2021 estabelece que o</w:t>
      </w:r>
      <w:r w:rsidR="00ED17B2" w:rsidRPr="00516AB2">
        <w:rPr>
          <w:bCs/>
          <w:szCs w:val="20"/>
        </w:rPr>
        <w:t xml:space="preserve"> </w:t>
      </w:r>
      <w:r w:rsidR="00ED17B2">
        <w:rPr>
          <w:bCs/>
          <w:szCs w:val="20"/>
        </w:rPr>
        <w:t xml:space="preserve">limite </w:t>
      </w:r>
      <w:r w:rsidR="00ED17B2" w:rsidRPr="001F46FF">
        <w:rPr>
          <w:bCs/>
          <w:szCs w:val="20"/>
        </w:rPr>
        <w:t xml:space="preserve">legal </w:t>
      </w:r>
      <w:r w:rsidR="00ED17B2">
        <w:rPr>
          <w:bCs/>
          <w:szCs w:val="20"/>
        </w:rPr>
        <w:t xml:space="preserve">de </w:t>
      </w:r>
      <w:r w:rsidR="001555E3" w:rsidRPr="001555E3">
        <w:rPr>
          <w:b/>
          <w:bCs/>
          <w:color w:val="000000" w:themeColor="text1"/>
          <w:szCs w:val="20"/>
        </w:rPr>
        <w:t>5,00</w:t>
      </w:r>
      <w:r w:rsidR="0077503A" w:rsidRPr="001555E3">
        <w:rPr>
          <w:b/>
          <w:bCs/>
          <w:color w:val="000000" w:themeColor="text1"/>
          <w:szCs w:val="20"/>
        </w:rPr>
        <w:t>% (</w:t>
      </w:r>
      <w:r w:rsidR="001555E3">
        <w:rPr>
          <w:b/>
          <w:bCs/>
          <w:color w:val="000000" w:themeColor="text1"/>
          <w:szCs w:val="20"/>
        </w:rPr>
        <w:t xml:space="preserve">cinco por </w:t>
      </w:r>
      <w:r w:rsidR="001555E3" w:rsidRPr="001555E3">
        <w:rPr>
          <w:b/>
          <w:bCs/>
          <w:color w:val="000000" w:themeColor="text1"/>
          <w:szCs w:val="20"/>
        </w:rPr>
        <w:t>cento</w:t>
      </w:r>
      <w:r w:rsidR="0077503A" w:rsidRPr="001555E3">
        <w:rPr>
          <w:b/>
          <w:bCs/>
          <w:color w:val="000000" w:themeColor="text1"/>
          <w:szCs w:val="20"/>
        </w:rPr>
        <w:t>)</w:t>
      </w:r>
      <w:r w:rsidR="00ED17B2" w:rsidRPr="001555E3">
        <w:rPr>
          <w:bCs/>
          <w:color w:val="000000" w:themeColor="text1"/>
          <w:szCs w:val="20"/>
        </w:rPr>
        <w:t xml:space="preserve"> </w:t>
      </w:r>
      <w:r w:rsidR="00ED17B2" w:rsidRPr="001F46FF">
        <w:rPr>
          <w:bCs/>
          <w:szCs w:val="20"/>
        </w:rPr>
        <w:t>da</w:t>
      </w:r>
      <w:r w:rsidR="00ED17B2" w:rsidRPr="00516AB2">
        <w:rPr>
          <w:bCs/>
          <w:szCs w:val="20"/>
        </w:rPr>
        <w:t xml:space="preserve"> totalidade dos recursos em moeda corrente</w:t>
      </w:r>
      <w:r w:rsidR="00ED17B2">
        <w:rPr>
          <w:bCs/>
          <w:szCs w:val="20"/>
        </w:rPr>
        <w:t>.</w:t>
      </w:r>
    </w:p>
    <w:p w14:paraId="7C5C8379" w14:textId="0F6D45D1" w:rsidR="00CD5562" w:rsidRDefault="002F3C76" w:rsidP="00B62B8E">
      <w:pPr>
        <w:rPr>
          <w:b/>
          <w:bCs/>
          <w:szCs w:val="20"/>
        </w:rPr>
      </w:pPr>
      <w:r>
        <w:t xml:space="preserve">Devido </w:t>
      </w:r>
      <w:r w:rsidR="001571B0">
        <w:t>à</w:t>
      </w:r>
      <w:r>
        <w:t xml:space="preserve"> complexidade</w:t>
      </w:r>
      <w:r w:rsidR="00C72A79">
        <w:t xml:space="preserve"> </w:t>
      </w:r>
      <w:r w:rsidR="001571B0">
        <w:t>na</w:t>
      </w:r>
      <w:r w:rsidR="00C72A79">
        <w:t xml:space="preserve"> </w:t>
      </w:r>
      <w:r w:rsidR="001571B0">
        <w:t xml:space="preserve">construção e </w:t>
      </w:r>
      <w:r w:rsidR="00C72A79">
        <w:t xml:space="preserve">adoção de parâmetros específicos </w:t>
      </w:r>
      <w:r w:rsidR="00375B10">
        <w:t xml:space="preserve">de governança para </w:t>
      </w:r>
      <w:r w:rsidR="001571B0">
        <w:t>o processo de</w:t>
      </w:r>
      <w:r w:rsidR="00375B10">
        <w:t xml:space="preserve"> implantação</w:t>
      </w:r>
      <w:r w:rsidR="001571B0">
        <w:t xml:space="preserve"> da modalidade</w:t>
      </w:r>
      <w:r>
        <w:t xml:space="preserve">, </w:t>
      </w:r>
      <w:r>
        <w:rPr>
          <w:bCs/>
          <w:szCs w:val="20"/>
        </w:rPr>
        <w:t xml:space="preserve">o </w:t>
      </w:r>
      <w:r w:rsidR="00EF58E3">
        <w:rPr>
          <w:b/>
          <w:bCs/>
          <w:color w:val="000000" w:themeColor="text1"/>
          <w:szCs w:val="20"/>
        </w:rPr>
        <w:t>MUNICÍ</w:t>
      </w:r>
      <w:r w:rsidR="00EF58E3" w:rsidRPr="006053F5">
        <w:rPr>
          <w:b/>
          <w:bCs/>
          <w:color w:val="000000" w:themeColor="text1"/>
          <w:szCs w:val="20"/>
        </w:rPr>
        <w:t>PIO</w:t>
      </w:r>
      <w:r w:rsidR="00EF58E3" w:rsidRPr="00716D43">
        <w:rPr>
          <w:b/>
          <w:color w:val="000000" w:themeColor="text1"/>
        </w:rPr>
        <w:t xml:space="preserve"> </w:t>
      </w:r>
      <w:r w:rsidR="001555E3" w:rsidRPr="00716D43">
        <w:rPr>
          <w:b/>
          <w:color w:val="000000" w:themeColor="text1"/>
        </w:rPr>
        <w:t>DE GUARACI</w:t>
      </w:r>
      <w:r w:rsidR="001555E3">
        <w:rPr>
          <w:bCs/>
          <w:szCs w:val="20"/>
        </w:rPr>
        <w:t xml:space="preserve"> </w:t>
      </w:r>
      <w:r w:rsidR="007567D6">
        <w:rPr>
          <w:bCs/>
          <w:szCs w:val="20"/>
        </w:rPr>
        <w:t xml:space="preserve">propõe adotar, neste momento, como </w:t>
      </w:r>
      <w:r w:rsidR="007567D6" w:rsidRPr="00516AB2">
        <w:rPr>
          <w:b/>
          <w:bCs/>
          <w:szCs w:val="20"/>
        </w:rPr>
        <w:t>limit</w:t>
      </w:r>
      <w:r w:rsidR="007567D6">
        <w:rPr>
          <w:b/>
          <w:bCs/>
          <w:szCs w:val="20"/>
        </w:rPr>
        <w:t xml:space="preserve">e o percentual </w:t>
      </w:r>
      <w:r w:rsidR="007567D6" w:rsidRPr="00A72BBB">
        <w:rPr>
          <w:b/>
          <w:bCs/>
          <w:szCs w:val="20"/>
        </w:rPr>
        <w:t xml:space="preserve">de </w:t>
      </w:r>
      <w:r w:rsidR="001555E3" w:rsidRPr="001555E3">
        <w:rPr>
          <w:b/>
          <w:bCs/>
          <w:color w:val="000000" w:themeColor="text1"/>
          <w:szCs w:val="20"/>
        </w:rPr>
        <w:t>5,00% (</w:t>
      </w:r>
      <w:r w:rsidR="001555E3">
        <w:rPr>
          <w:b/>
          <w:bCs/>
          <w:color w:val="000000" w:themeColor="text1"/>
          <w:szCs w:val="20"/>
        </w:rPr>
        <w:t xml:space="preserve">cinco por </w:t>
      </w:r>
      <w:r w:rsidR="001555E3" w:rsidRPr="001555E3">
        <w:rPr>
          <w:b/>
          <w:bCs/>
          <w:color w:val="000000" w:themeColor="text1"/>
          <w:szCs w:val="20"/>
        </w:rPr>
        <w:t>cento)</w:t>
      </w:r>
      <w:r w:rsidR="001555E3">
        <w:rPr>
          <w:b/>
          <w:bCs/>
          <w:color w:val="000000" w:themeColor="text1"/>
          <w:szCs w:val="20"/>
        </w:rPr>
        <w:t xml:space="preserve"> </w:t>
      </w:r>
      <w:r w:rsidR="007567D6" w:rsidRPr="00A72BBB">
        <w:rPr>
          <w:b/>
          <w:bCs/>
          <w:szCs w:val="20"/>
        </w:rPr>
        <w:t>da totalidade</w:t>
      </w:r>
      <w:r w:rsidR="007567D6" w:rsidRPr="00516AB2">
        <w:rPr>
          <w:b/>
          <w:bCs/>
          <w:szCs w:val="20"/>
        </w:rPr>
        <w:t xml:space="preserve"> dos</w:t>
      </w:r>
      <w:r w:rsidR="007567D6">
        <w:rPr>
          <w:b/>
          <w:bCs/>
          <w:szCs w:val="20"/>
        </w:rPr>
        <w:t xml:space="preserve"> recursos.</w:t>
      </w:r>
    </w:p>
    <w:p w14:paraId="2B5AB4C9" w14:textId="58E31463" w:rsidR="00076D5C" w:rsidRDefault="005D20A2" w:rsidP="00B62B8E">
      <w:pPr>
        <w:rPr>
          <w:b/>
          <w:bCs/>
          <w:szCs w:val="20"/>
        </w:rPr>
      </w:pPr>
      <w:r w:rsidRPr="005D20A2">
        <w:rPr>
          <w:b/>
          <w:bCs/>
          <w:szCs w:val="20"/>
        </w:rPr>
        <w:t>Os parâmetros de rentabilidade perseguidos para a carteira de empréstimos consignados buscar</w:t>
      </w:r>
      <w:r>
        <w:rPr>
          <w:b/>
          <w:bCs/>
          <w:szCs w:val="20"/>
        </w:rPr>
        <w:t>am</w:t>
      </w:r>
      <w:r w:rsidRPr="005D20A2">
        <w:rPr>
          <w:b/>
          <w:bCs/>
          <w:szCs w:val="20"/>
        </w:rPr>
        <w:t xml:space="preserve"> compatibilidade com o perfil das obrigações do </w:t>
      </w:r>
      <w:r w:rsidR="001555E3" w:rsidRPr="00716D43">
        <w:rPr>
          <w:b/>
          <w:color w:val="000000" w:themeColor="text1"/>
        </w:rPr>
        <w:t>MUNICIPIO DE GUARACI</w:t>
      </w:r>
      <w:r w:rsidRPr="005D20A2">
        <w:rPr>
          <w:b/>
          <w:bCs/>
          <w:szCs w:val="20"/>
        </w:rPr>
        <w:t>, tendo em vista a necessidade de busca e manutenção do equilíbrio financeiro e atuarial.</w:t>
      </w:r>
    </w:p>
    <w:p w14:paraId="75EB8041" w14:textId="3CD195E0" w:rsidR="00F2016E" w:rsidRDefault="00417094" w:rsidP="00B62B8E">
      <w:r>
        <w:t>N</w:t>
      </w:r>
      <w:r w:rsidR="00B033D2">
        <w:t>o processo de</w:t>
      </w:r>
      <w:r>
        <w:t xml:space="preserve"> </w:t>
      </w:r>
      <w:r w:rsidR="00B033D2">
        <w:t>implantação da modalidade</w:t>
      </w:r>
      <w:r>
        <w:t xml:space="preserve">, não serão considerados </w:t>
      </w:r>
      <w:proofErr w:type="spellStart"/>
      <w:r>
        <w:t>desenquadramentos</w:t>
      </w:r>
      <w:proofErr w:type="spellEnd"/>
      <w:r>
        <w:t xml:space="preserve"> os limites aqui definidos, tendo o </w:t>
      </w:r>
      <w:r w:rsidR="00EF58E3">
        <w:rPr>
          <w:b/>
          <w:bCs/>
          <w:color w:val="000000" w:themeColor="text1"/>
          <w:szCs w:val="20"/>
        </w:rPr>
        <w:t>MUNICÍ</w:t>
      </w:r>
      <w:r w:rsidR="00EF58E3" w:rsidRPr="006053F5">
        <w:rPr>
          <w:b/>
          <w:bCs/>
          <w:color w:val="000000" w:themeColor="text1"/>
          <w:szCs w:val="20"/>
        </w:rPr>
        <w:t>PIO</w:t>
      </w:r>
      <w:r w:rsidR="00EF58E3" w:rsidRPr="00716D43">
        <w:rPr>
          <w:b/>
          <w:color w:val="000000" w:themeColor="text1"/>
        </w:rPr>
        <w:t xml:space="preserve"> </w:t>
      </w:r>
      <w:r w:rsidR="001555E3" w:rsidRPr="00716D43">
        <w:rPr>
          <w:b/>
          <w:color w:val="000000" w:themeColor="text1"/>
        </w:rPr>
        <w:t>DE GUARACI</w:t>
      </w:r>
      <w:r>
        <w:t xml:space="preserve"> prazo de </w:t>
      </w:r>
      <w:r w:rsidRPr="00A73568">
        <w:rPr>
          <w:b/>
          <w:bCs/>
        </w:rPr>
        <w:t>60 (sessenta) dias</w:t>
      </w:r>
      <w:r>
        <w:t xml:space="preserve"> para </w:t>
      </w:r>
      <w:r>
        <w:lastRenderedPageBreak/>
        <w:t xml:space="preserve">revisão e adequação da sua Política de Investimentos em atendimento aos novos </w:t>
      </w:r>
      <w:r w:rsidR="00546116">
        <w:t xml:space="preserve">parâmetros, especificamente o Art. </w:t>
      </w:r>
      <w:r w:rsidR="00A513D1">
        <w:t>12, §</w:t>
      </w:r>
      <w:r w:rsidR="00612224">
        <w:t xml:space="preserve"> 11</w:t>
      </w:r>
      <w:r w:rsidR="00BF39DA">
        <w:t xml:space="preserve"> da </w:t>
      </w:r>
      <w:r w:rsidR="00BF39DA">
        <w:rPr>
          <w:bCs/>
          <w:szCs w:val="20"/>
        </w:rPr>
        <w:t>Resolução CMN nº 4.963/2021</w:t>
      </w:r>
      <w:r>
        <w:t>.</w:t>
      </w:r>
    </w:p>
    <w:p w14:paraId="4214E76B" w14:textId="77777777" w:rsidR="00A84132" w:rsidRPr="007A06D1" w:rsidRDefault="00A84132" w:rsidP="007A06D1">
      <w:pPr>
        <w:rPr>
          <w:b/>
        </w:rPr>
      </w:pPr>
      <w:r w:rsidRPr="007A06D1">
        <w:rPr>
          <w:b/>
        </w:rPr>
        <w:t>Carteira de empréstimo consignado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84132" w14:paraId="3C40626C" w14:textId="77777777" w:rsidTr="00616936">
        <w:tc>
          <w:tcPr>
            <w:tcW w:w="2831" w:type="dxa"/>
          </w:tcPr>
          <w:p w14:paraId="36FEDA60" w14:textId="77777777" w:rsidR="00A84132" w:rsidRPr="007766E3" w:rsidRDefault="00A84132" w:rsidP="00616936">
            <w:pPr>
              <w:rPr>
                <w:highlight w:val="yellow"/>
              </w:rPr>
            </w:pPr>
            <w:r w:rsidRPr="007766E3">
              <w:rPr>
                <w:highlight w:val="yellow"/>
              </w:rPr>
              <w:t>Montante em aplicação (R$):</w:t>
            </w:r>
          </w:p>
        </w:tc>
        <w:tc>
          <w:tcPr>
            <w:tcW w:w="2831" w:type="dxa"/>
          </w:tcPr>
          <w:p w14:paraId="6A0C5AEE" w14:textId="044DEB1F" w:rsidR="00A84132" w:rsidRDefault="00866D16" w:rsidP="00616936">
            <w:r>
              <w:t>5% ou 10% do PL</w:t>
            </w:r>
          </w:p>
        </w:tc>
        <w:tc>
          <w:tcPr>
            <w:tcW w:w="2832" w:type="dxa"/>
          </w:tcPr>
          <w:p w14:paraId="7709564B" w14:textId="77777777" w:rsidR="00A84132" w:rsidRDefault="00A84132" w:rsidP="00616936"/>
        </w:tc>
      </w:tr>
      <w:tr w:rsidR="00A84132" w14:paraId="0FF7AF8C" w14:textId="77777777" w:rsidTr="00616936">
        <w:tc>
          <w:tcPr>
            <w:tcW w:w="2831" w:type="dxa"/>
          </w:tcPr>
          <w:p w14:paraId="0D0CA7B9" w14:textId="77777777" w:rsidR="00A84132" w:rsidRPr="007766E3" w:rsidRDefault="00A84132" w:rsidP="00616936">
            <w:pPr>
              <w:rPr>
                <w:highlight w:val="yellow"/>
              </w:rPr>
            </w:pPr>
            <w:r w:rsidRPr="007766E3">
              <w:rPr>
                <w:highlight w:val="yellow"/>
              </w:rPr>
              <w:t>Prestações (R$):</w:t>
            </w:r>
          </w:p>
        </w:tc>
        <w:tc>
          <w:tcPr>
            <w:tcW w:w="2831" w:type="dxa"/>
          </w:tcPr>
          <w:p w14:paraId="398B198F" w14:textId="518A06E6" w:rsidR="00A84132" w:rsidRDefault="00866D16" w:rsidP="00616936">
            <w:r>
              <w:t>30% da Folha</w:t>
            </w:r>
          </w:p>
        </w:tc>
        <w:tc>
          <w:tcPr>
            <w:tcW w:w="2832" w:type="dxa"/>
          </w:tcPr>
          <w:p w14:paraId="28604304" w14:textId="77777777" w:rsidR="00A84132" w:rsidRDefault="00A84132" w:rsidP="00616936"/>
        </w:tc>
      </w:tr>
      <w:tr w:rsidR="00A84132" w14:paraId="14984C46" w14:textId="77777777" w:rsidTr="00616936">
        <w:tc>
          <w:tcPr>
            <w:tcW w:w="2831" w:type="dxa"/>
          </w:tcPr>
          <w:p w14:paraId="2C163F17" w14:textId="77777777" w:rsidR="00A84132" w:rsidRPr="007766E3" w:rsidRDefault="00A84132" w:rsidP="00616936">
            <w:pPr>
              <w:rPr>
                <w:highlight w:val="yellow"/>
              </w:rPr>
            </w:pPr>
            <w:r w:rsidRPr="007766E3">
              <w:rPr>
                <w:highlight w:val="yellow"/>
              </w:rPr>
              <w:t>Prazo:</w:t>
            </w:r>
          </w:p>
        </w:tc>
        <w:tc>
          <w:tcPr>
            <w:tcW w:w="2831" w:type="dxa"/>
          </w:tcPr>
          <w:p w14:paraId="6C7F15CB" w14:textId="6F56CF4E" w:rsidR="00A84132" w:rsidRDefault="00866D16" w:rsidP="00616936">
            <w:r>
              <w:t>96 meses (igual INSS)</w:t>
            </w:r>
          </w:p>
        </w:tc>
        <w:tc>
          <w:tcPr>
            <w:tcW w:w="2832" w:type="dxa"/>
          </w:tcPr>
          <w:p w14:paraId="6273EEAD" w14:textId="77777777" w:rsidR="00A84132" w:rsidRDefault="00A84132" w:rsidP="00616936"/>
        </w:tc>
      </w:tr>
    </w:tbl>
    <w:p w14:paraId="31B2E2B6" w14:textId="77777777" w:rsidR="00A84132" w:rsidRDefault="00A84132" w:rsidP="007A06D1">
      <w:pPr>
        <w:pStyle w:val="PargrafodaLista"/>
      </w:pPr>
    </w:p>
    <w:p w14:paraId="1FA11537" w14:textId="77777777" w:rsidR="00A84132" w:rsidRDefault="00A84132" w:rsidP="007A06D1">
      <w:r>
        <w:t>O procedimento será realizado por meio de um software com o objetivo de interligar o sistema de gestão de folhas de pagamento de seus servidores e eventuais aposentados e pensionistas, operacionalizando os empréstimos concedidos.</w:t>
      </w:r>
    </w:p>
    <w:p w14:paraId="7CEABC81" w14:textId="77777777" w:rsidR="00A84132" w:rsidRDefault="00A84132" w:rsidP="007A06D1"/>
    <w:p w14:paraId="1C1AC58D" w14:textId="77777777" w:rsidR="009E1812" w:rsidRDefault="009E1812" w:rsidP="00276EFD">
      <w:pPr>
        <w:pStyle w:val="Ttulo3"/>
      </w:pPr>
      <w:bookmarkStart w:id="47" w:name="_Toc118105144"/>
      <w:r>
        <w:t>LIMITES GERAIS</w:t>
      </w:r>
      <w:bookmarkEnd w:id="47"/>
    </w:p>
    <w:p w14:paraId="4A197D4D" w14:textId="4F2B90E9" w:rsidR="009E1812" w:rsidRDefault="009E1812" w:rsidP="00B62B8E">
      <w:pPr>
        <w:rPr>
          <w:bCs/>
          <w:szCs w:val="20"/>
        </w:rPr>
      </w:pPr>
      <w:r>
        <w:t xml:space="preserve">No acompanhamento dos limites gerais da carteira de investimentos do </w:t>
      </w:r>
      <w:r w:rsidR="00EF58E3">
        <w:rPr>
          <w:b/>
          <w:bCs/>
          <w:color w:val="000000" w:themeColor="text1"/>
          <w:szCs w:val="20"/>
        </w:rPr>
        <w:t>MUNICÍ</w:t>
      </w:r>
      <w:r w:rsidR="00EF58E3" w:rsidRPr="006053F5">
        <w:rPr>
          <w:b/>
          <w:bCs/>
          <w:color w:val="000000" w:themeColor="text1"/>
          <w:szCs w:val="20"/>
        </w:rPr>
        <w:t>PIO</w:t>
      </w:r>
      <w:r w:rsidR="00EF58E3" w:rsidRPr="00716D43">
        <w:rPr>
          <w:b/>
          <w:color w:val="000000" w:themeColor="text1"/>
        </w:rPr>
        <w:t xml:space="preserve"> </w:t>
      </w:r>
      <w:r w:rsidR="001555E3" w:rsidRPr="00716D43">
        <w:rPr>
          <w:b/>
          <w:color w:val="000000" w:themeColor="text1"/>
        </w:rPr>
        <w:t>DE GUARACI</w:t>
      </w:r>
      <w:r w:rsidRPr="005B5E5B">
        <w:rPr>
          <w:bCs/>
          <w:szCs w:val="20"/>
        </w:rPr>
        <w:t>, em atendimento aos limites aqui estabelecidos e da Resolução CMN n°</w:t>
      </w:r>
      <w:r w:rsidR="00CC1D1F">
        <w:rPr>
          <w:bCs/>
          <w:szCs w:val="20"/>
        </w:rPr>
        <w:t xml:space="preserve"> 4.963/</w:t>
      </w:r>
      <w:r w:rsidR="00CC1D1F" w:rsidRPr="009E7C34">
        <w:rPr>
          <w:bCs/>
          <w:szCs w:val="20"/>
        </w:rPr>
        <w:t>2021</w:t>
      </w:r>
      <w:r w:rsidRPr="009E7C34">
        <w:rPr>
          <w:bCs/>
          <w:szCs w:val="20"/>
        </w:rPr>
        <w:t>, serão consolidadas as posições das aplicações dos recursos realizados direta e indiretamente por meio de fundos de investimentos e fundos de investimentos em cotas de fundos de investimentos.</w:t>
      </w:r>
    </w:p>
    <w:p w14:paraId="4EE8CCF6" w14:textId="2F421289" w:rsidR="009E1812" w:rsidRPr="005B5E5B" w:rsidRDefault="009E1812" w:rsidP="00B62B8E">
      <w:pPr>
        <w:rPr>
          <w:bCs/>
          <w:szCs w:val="20"/>
        </w:rPr>
      </w:pPr>
      <w:r>
        <w:rPr>
          <w:bCs/>
          <w:szCs w:val="20"/>
        </w:rPr>
        <w:t xml:space="preserve">Os limites utilizados para investimentos em títulos e valores mobiliários de emissão ou coobrigação de uma mesma pessoa jurídica serão os mesmos dispostos na </w:t>
      </w:r>
      <w:r w:rsidR="00802F35" w:rsidRPr="005B5E5B">
        <w:rPr>
          <w:bCs/>
          <w:szCs w:val="20"/>
        </w:rPr>
        <w:t>Resolução CMN n°</w:t>
      </w:r>
      <w:r w:rsidR="00802F35">
        <w:rPr>
          <w:bCs/>
          <w:szCs w:val="20"/>
        </w:rPr>
        <w:t xml:space="preserve"> 4.963/2021</w:t>
      </w:r>
      <w:r>
        <w:rPr>
          <w:bCs/>
          <w:szCs w:val="20"/>
        </w:rPr>
        <w:t>.</w:t>
      </w:r>
    </w:p>
    <w:p w14:paraId="540BD8FA" w14:textId="7ACDECBC" w:rsidR="009E1812" w:rsidRPr="005B5E5B" w:rsidRDefault="009E1812" w:rsidP="00B62B8E">
      <w:pPr>
        <w:rPr>
          <w:bCs/>
          <w:szCs w:val="20"/>
        </w:rPr>
      </w:pPr>
      <w:r w:rsidRPr="005B5E5B">
        <w:rPr>
          <w:bCs/>
          <w:szCs w:val="20"/>
        </w:rPr>
        <w:t xml:space="preserve">No que tange ao limite geral de exposição por fundos de investimentos e em cotas de fundos de investimentos, </w:t>
      </w:r>
      <w:r w:rsidRPr="009C66AE">
        <w:t>fica o</w:t>
      </w:r>
      <w:r>
        <w:rPr>
          <w:bCs/>
          <w:color w:val="FF0000"/>
          <w:szCs w:val="20"/>
        </w:rPr>
        <w:t xml:space="preserve"> </w:t>
      </w:r>
      <w:r w:rsidR="00EF58E3">
        <w:rPr>
          <w:b/>
          <w:bCs/>
          <w:color w:val="000000" w:themeColor="text1"/>
          <w:szCs w:val="20"/>
        </w:rPr>
        <w:t>MUNICÍ</w:t>
      </w:r>
      <w:r w:rsidR="00EF58E3" w:rsidRPr="006053F5">
        <w:rPr>
          <w:b/>
          <w:bCs/>
          <w:color w:val="000000" w:themeColor="text1"/>
          <w:szCs w:val="20"/>
        </w:rPr>
        <w:t>PIO</w:t>
      </w:r>
      <w:r w:rsidR="00EF58E3" w:rsidRPr="00716D43">
        <w:rPr>
          <w:b/>
          <w:color w:val="000000" w:themeColor="text1"/>
        </w:rPr>
        <w:t xml:space="preserve"> </w:t>
      </w:r>
      <w:r w:rsidR="001555E3" w:rsidRPr="00716D43">
        <w:rPr>
          <w:b/>
          <w:color w:val="000000" w:themeColor="text1"/>
        </w:rPr>
        <w:t>DE GUARACI</w:t>
      </w:r>
      <w:r w:rsidR="001555E3" w:rsidRPr="005B5E5B">
        <w:rPr>
          <w:bCs/>
          <w:szCs w:val="20"/>
        </w:rPr>
        <w:t xml:space="preserve"> </w:t>
      </w:r>
      <w:r w:rsidRPr="005B5E5B">
        <w:rPr>
          <w:bCs/>
          <w:szCs w:val="20"/>
        </w:rPr>
        <w:t xml:space="preserve">limitado a </w:t>
      </w:r>
      <w:r w:rsidRPr="001E68C4">
        <w:rPr>
          <w:b/>
          <w:szCs w:val="20"/>
        </w:rPr>
        <w:t>20% de exposição</w:t>
      </w:r>
      <w:r>
        <w:rPr>
          <w:bCs/>
          <w:szCs w:val="20"/>
        </w:rPr>
        <w:t xml:space="preserve">, com exceção dada aos fundos de investimentos enquadrados no Art. 7º, inciso </w:t>
      </w:r>
      <w:r w:rsidR="002D44D6">
        <w:rPr>
          <w:bCs/>
          <w:szCs w:val="20"/>
        </w:rPr>
        <w:t xml:space="preserve">I, alínea </w:t>
      </w:r>
      <w:r>
        <w:rPr>
          <w:bCs/>
          <w:szCs w:val="20"/>
        </w:rPr>
        <w:t xml:space="preserve">“b” da Resolução CMN nº </w:t>
      </w:r>
      <w:r w:rsidR="00984021">
        <w:rPr>
          <w:bCs/>
          <w:szCs w:val="20"/>
        </w:rPr>
        <w:t>4.963/2021</w:t>
      </w:r>
      <w:r w:rsidRPr="005B5E5B">
        <w:rPr>
          <w:bCs/>
          <w:szCs w:val="20"/>
        </w:rPr>
        <w:t>.</w:t>
      </w:r>
    </w:p>
    <w:p w14:paraId="658FBFF7" w14:textId="7AFD03F3" w:rsidR="009E1812" w:rsidRDefault="009E1812" w:rsidP="00B62B8E">
      <w:r w:rsidRPr="005B5E5B">
        <w:t xml:space="preserve">A exposição do total das aplicações dos recursos do </w:t>
      </w:r>
      <w:r w:rsidR="00EF58E3">
        <w:rPr>
          <w:b/>
          <w:bCs/>
          <w:color w:val="000000" w:themeColor="text1"/>
          <w:szCs w:val="20"/>
        </w:rPr>
        <w:t>MUNICÍ</w:t>
      </w:r>
      <w:r w:rsidR="00EF58E3" w:rsidRPr="006053F5">
        <w:rPr>
          <w:b/>
          <w:bCs/>
          <w:color w:val="000000" w:themeColor="text1"/>
          <w:szCs w:val="20"/>
        </w:rPr>
        <w:t>PIO</w:t>
      </w:r>
      <w:r w:rsidR="00EF58E3" w:rsidRPr="00716D43">
        <w:rPr>
          <w:b/>
          <w:color w:val="000000" w:themeColor="text1"/>
        </w:rPr>
        <w:t xml:space="preserve"> </w:t>
      </w:r>
      <w:r w:rsidR="001555E3" w:rsidRPr="00716D43">
        <w:rPr>
          <w:b/>
          <w:color w:val="000000" w:themeColor="text1"/>
        </w:rPr>
        <w:t>DE GUARACI</w:t>
      </w:r>
      <w:r w:rsidR="001555E3" w:rsidRPr="0005538B">
        <w:t xml:space="preserve"> </w:t>
      </w:r>
      <w:r w:rsidRPr="0005538B">
        <w:t>no patrimônio líquido de um</w:t>
      </w:r>
      <w:r w:rsidRPr="005B5E5B">
        <w:t xml:space="preserve"> mesmo </w:t>
      </w:r>
      <w:r w:rsidRPr="00596F73">
        <w:t xml:space="preserve">fundo de investimento </w:t>
      </w:r>
      <w:r w:rsidRPr="00596F73">
        <w:rPr>
          <w:b/>
          <w:bCs/>
        </w:rPr>
        <w:t>limita</w:t>
      </w:r>
      <w:r w:rsidR="008E033D">
        <w:rPr>
          <w:b/>
          <w:bCs/>
        </w:rPr>
        <w:t>r</w:t>
      </w:r>
      <w:r w:rsidRPr="00596F73">
        <w:rPr>
          <w:b/>
          <w:bCs/>
        </w:rPr>
        <w:t>-se</w:t>
      </w:r>
      <w:r w:rsidR="008E033D">
        <w:rPr>
          <w:b/>
          <w:bCs/>
        </w:rPr>
        <w:t>-</w:t>
      </w:r>
      <w:r w:rsidRPr="00596F73">
        <w:rPr>
          <w:b/>
          <w:bCs/>
        </w:rPr>
        <w:t>ão em 15% (quinze por cento)</w:t>
      </w:r>
      <w:r w:rsidRPr="00596F73">
        <w:t>. Para os fundos de investimentos classificados como FIDC – Fundos de Investimentos em Direitos Creditórios, Crédito Privado</w:t>
      </w:r>
      <w:r w:rsidR="00943600">
        <w:t xml:space="preserve"> e</w:t>
      </w:r>
      <w:r w:rsidRPr="00596F73">
        <w:t xml:space="preserve"> FI de Infraestrutura, a exposição no patrimônio líquido de em um mesmo fundo de investimento </w:t>
      </w:r>
      <w:r w:rsidRPr="00596F73">
        <w:rPr>
          <w:b/>
          <w:bCs/>
        </w:rPr>
        <w:t>limitar-se-ão à 5% (cinco por cento)</w:t>
      </w:r>
      <w:r w:rsidRPr="00596F73">
        <w:t>.</w:t>
      </w:r>
    </w:p>
    <w:p w14:paraId="1CB6E792" w14:textId="30DBC492" w:rsidR="005B55E6" w:rsidRDefault="003216D5" w:rsidP="00B62B8E">
      <w:r>
        <w:t xml:space="preserve">Para </w:t>
      </w:r>
      <w:r w:rsidR="00BF29C0" w:rsidRPr="00596F73">
        <w:t>os fundos de investimentos classificados como FIDC – Fundos de Investimentos em Direitos Creditórios</w:t>
      </w:r>
      <w:r w:rsidR="00872CD2">
        <w:t xml:space="preserve">, que fazem parte da carteira de investimentos do </w:t>
      </w:r>
      <w:r w:rsidR="00EF58E3">
        <w:rPr>
          <w:b/>
          <w:bCs/>
          <w:color w:val="000000" w:themeColor="text1"/>
          <w:szCs w:val="20"/>
        </w:rPr>
        <w:t>MUNICÍ</w:t>
      </w:r>
      <w:r w:rsidR="00EF58E3" w:rsidRPr="006053F5">
        <w:rPr>
          <w:b/>
          <w:bCs/>
          <w:color w:val="000000" w:themeColor="text1"/>
          <w:szCs w:val="20"/>
        </w:rPr>
        <w:t>PIO</w:t>
      </w:r>
      <w:r w:rsidR="00EF58E3" w:rsidRPr="00716D43">
        <w:rPr>
          <w:b/>
          <w:color w:val="000000" w:themeColor="text1"/>
        </w:rPr>
        <w:t xml:space="preserve"> </w:t>
      </w:r>
      <w:r w:rsidR="001555E3" w:rsidRPr="00716D43">
        <w:rPr>
          <w:b/>
          <w:color w:val="000000" w:themeColor="text1"/>
        </w:rPr>
        <w:t>DE GUARACI</w:t>
      </w:r>
      <w:r w:rsidR="001555E3">
        <w:t xml:space="preserve"> </w:t>
      </w:r>
      <w:r w:rsidR="007E21B8">
        <w:t xml:space="preserve">a partir de 1º de janeiro de 2015, o limite estabelecido </w:t>
      </w:r>
      <w:r w:rsidR="00FF0827">
        <w:t xml:space="preserve">no parágrafo anterior, deverá ser calculado </w:t>
      </w:r>
      <w:r w:rsidR="00B53C04">
        <w:t xml:space="preserve">em proporção </w:t>
      </w:r>
      <w:r w:rsidR="008A17E9">
        <w:t>ao</w:t>
      </w:r>
      <w:r w:rsidR="00B53C04">
        <w:t xml:space="preserve"> total de cotas </w:t>
      </w:r>
      <w:r w:rsidR="00F74520">
        <w:t>da classe sênior e não do total de cotas do fundo</w:t>
      </w:r>
      <w:r w:rsidR="008A17E9">
        <w:t xml:space="preserve"> de investimento</w:t>
      </w:r>
      <w:r w:rsidR="00F74520">
        <w:t>.</w:t>
      </w:r>
    </w:p>
    <w:p w14:paraId="6B92A06F" w14:textId="6DD62136" w:rsidR="00DF59AA" w:rsidRDefault="001703D0" w:rsidP="00B62B8E">
      <w:r>
        <w:t>O total das aplicações dos recursos do</w:t>
      </w:r>
      <w:r w:rsidR="0039643E">
        <w:t xml:space="preserve"> </w:t>
      </w:r>
      <w:r w:rsidR="00EF58E3">
        <w:rPr>
          <w:b/>
          <w:bCs/>
          <w:color w:val="000000" w:themeColor="text1"/>
          <w:szCs w:val="20"/>
        </w:rPr>
        <w:t>MUNICÍ</w:t>
      </w:r>
      <w:r w:rsidR="00EF58E3" w:rsidRPr="006053F5">
        <w:rPr>
          <w:b/>
          <w:bCs/>
          <w:color w:val="000000" w:themeColor="text1"/>
          <w:szCs w:val="20"/>
        </w:rPr>
        <w:t>PIO</w:t>
      </w:r>
      <w:r w:rsidR="00EF58E3" w:rsidRPr="00716D43">
        <w:rPr>
          <w:b/>
          <w:color w:val="000000" w:themeColor="text1"/>
        </w:rPr>
        <w:t xml:space="preserve"> </w:t>
      </w:r>
      <w:r w:rsidR="001555E3" w:rsidRPr="00716D43">
        <w:rPr>
          <w:b/>
          <w:color w:val="000000" w:themeColor="text1"/>
        </w:rPr>
        <w:t>DE GUARACI</w:t>
      </w:r>
      <w:r w:rsidR="001555E3">
        <w:t xml:space="preserve"> </w:t>
      </w:r>
      <w:r>
        <w:t>em fundos</w:t>
      </w:r>
      <w:r w:rsidR="0039643E">
        <w:t xml:space="preserve"> </w:t>
      </w:r>
      <w:r>
        <w:t xml:space="preserve">de investimento não pode exceder a </w:t>
      </w:r>
      <w:r w:rsidRPr="0039643E">
        <w:rPr>
          <w:b/>
          <w:bCs/>
        </w:rPr>
        <w:t>5% (cinco por cento)</w:t>
      </w:r>
      <w:r>
        <w:t xml:space="preserve"> do volume total de</w:t>
      </w:r>
      <w:r w:rsidR="0039643E">
        <w:t xml:space="preserve"> </w:t>
      </w:r>
      <w:r>
        <w:t>recursos de terceiros gerido por um mesmo gestor ou por gestoras ligadas ao seu respectivo grupo</w:t>
      </w:r>
      <w:r w:rsidR="0039643E">
        <w:t xml:space="preserve"> </w:t>
      </w:r>
      <w:r>
        <w:t>econômico.</w:t>
      </w:r>
    </w:p>
    <w:p w14:paraId="56C45C11" w14:textId="79C2154E" w:rsidR="009E1812" w:rsidRPr="00596F73" w:rsidRDefault="009E1812" w:rsidP="00B62B8E">
      <w:r>
        <w:t xml:space="preserve">Na obtenção da Certificação Institucional Pró-Gestão, os limites definidos nesta Política de Investimentos serão elevados gradativamente de acordo com o nível conquistado em consonância com o disposto no art. 7º, </w:t>
      </w:r>
      <w:r w:rsidR="004273EF">
        <w:t>§ 7</w:t>
      </w:r>
      <w:r>
        <w:t>º</w:t>
      </w:r>
      <w:r w:rsidR="004273EF">
        <w:t xml:space="preserve">, </w:t>
      </w:r>
      <w:r>
        <w:t xml:space="preserve">art. 8º, </w:t>
      </w:r>
      <w:r w:rsidR="00EB3C09">
        <w:t>§ 3</w:t>
      </w:r>
      <w:r>
        <w:t>º</w:t>
      </w:r>
      <w:r w:rsidR="0019438D">
        <w:t xml:space="preserve"> e art. 10º, § </w:t>
      </w:r>
      <w:r w:rsidR="00261872">
        <w:t xml:space="preserve">2º </w:t>
      </w:r>
      <w:r>
        <w:t>da Resolução CMN nº</w:t>
      </w:r>
      <w:r w:rsidR="00261872">
        <w:t>4.963/2021</w:t>
      </w:r>
      <w:r>
        <w:t>.</w:t>
      </w:r>
    </w:p>
    <w:p w14:paraId="460CE340" w14:textId="77777777" w:rsidR="009E1812" w:rsidRDefault="009E1812" w:rsidP="00B62B8E">
      <w:bookmarkStart w:id="48" w:name="_Toc496794768"/>
      <w:bookmarkStart w:id="49" w:name="_Toc496794769"/>
      <w:bookmarkStart w:id="50" w:name="_Toc496794770"/>
      <w:bookmarkStart w:id="51" w:name="_Toc496794771"/>
      <w:bookmarkStart w:id="52" w:name="_Toc496794772"/>
      <w:bookmarkStart w:id="53" w:name="_Toc490036550"/>
      <w:bookmarkEnd w:id="48"/>
      <w:bookmarkEnd w:id="49"/>
      <w:bookmarkEnd w:id="50"/>
      <w:bookmarkEnd w:id="51"/>
      <w:bookmarkEnd w:id="52"/>
      <w:r w:rsidRPr="00596F73">
        <w:lastRenderedPageBreak/>
        <w:t xml:space="preserve">Em eventual </w:t>
      </w:r>
      <w:proofErr w:type="spellStart"/>
      <w:r w:rsidRPr="00596F73">
        <w:t>desenquadramento</w:t>
      </w:r>
      <w:proofErr w:type="spellEnd"/>
      <w:r w:rsidRPr="00596F73">
        <w:t xml:space="preserve"> dos limites aqui definidos, o Comitê de Investimentos juntamente com o Gestor dos Recursos, deverão se ater as Políticas de Contingência definidas nesta Política de Investimentos.</w:t>
      </w:r>
    </w:p>
    <w:p w14:paraId="253188DE" w14:textId="2C0D5F32" w:rsidR="009E1812" w:rsidRPr="00516AB2" w:rsidRDefault="00CE7DF3" w:rsidP="00276EFD">
      <w:pPr>
        <w:pStyle w:val="Ttulo3"/>
      </w:pPr>
      <w:bookmarkStart w:id="54" w:name="_Toc118105145"/>
      <w:r>
        <w:t xml:space="preserve">DEMAIS </w:t>
      </w:r>
      <w:r w:rsidR="009E1812" w:rsidRPr="00516AB2">
        <w:t>ENQUADRAMENTO</w:t>
      </w:r>
      <w:bookmarkEnd w:id="53"/>
      <w:r w:rsidR="00EA2DE2">
        <w:t>S</w:t>
      </w:r>
      <w:bookmarkEnd w:id="54"/>
    </w:p>
    <w:p w14:paraId="785C8463" w14:textId="6D1A45EE" w:rsidR="009E1812" w:rsidRPr="00516AB2" w:rsidRDefault="009E1812" w:rsidP="00B62B8E">
      <w:r w:rsidRPr="00516AB2">
        <w:t xml:space="preserve">O </w:t>
      </w:r>
      <w:r w:rsidR="00EF58E3">
        <w:rPr>
          <w:b/>
          <w:bCs/>
          <w:color w:val="000000" w:themeColor="text1"/>
          <w:szCs w:val="20"/>
        </w:rPr>
        <w:t>MUNICÍ</w:t>
      </w:r>
      <w:r w:rsidR="00EF58E3" w:rsidRPr="006053F5">
        <w:rPr>
          <w:b/>
          <w:bCs/>
          <w:color w:val="000000" w:themeColor="text1"/>
          <w:szCs w:val="20"/>
        </w:rPr>
        <w:t>PIO</w:t>
      </w:r>
      <w:r w:rsidR="00EF58E3" w:rsidRPr="00716D43">
        <w:rPr>
          <w:b/>
          <w:color w:val="000000" w:themeColor="text1"/>
        </w:rPr>
        <w:t xml:space="preserve"> </w:t>
      </w:r>
      <w:r w:rsidR="001555E3" w:rsidRPr="00716D43">
        <w:rPr>
          <w:b/>
          <w:color w:val="000000" w:themeColor="text1"/>
        </w:rPr>
        <w:t>DE GUARACI</w:t>
      </w:r>
      <w:r w:rsidR="001555E3" w:rsidRPr="00516AB2">
        <w:t xml:space="preserve"> </w:t>
      </w:r>
      <w:r w:rsidRPr="00516AB2">
        <w:t xml:space="preserve">considera todos os limites estipulados </w:t>
      </w:r>
      <w:r w:rsidR="00E43169">
        <w:t xml:space="preserve">nesta Política de Investimentos e </w:t>
      </w:r>
      <w:r w:rsidRPr="00516AB2">
        <w:t xml:space="preserve">na Resolução CMN n° </w:t>
      </w:r>
      <w:r w:rsidR="00E43169">
        <w:t>4.963/2021</w:t>
      </w:r>
      <w:r w:rsidR="00E731B6">
        <w:t xml:space="preserve">, destacando </w:t>
      </w:r>
      <w:r w:rsidR="000C603A">
        <w:t>especificamente:</w:t>
      </w:r>
    </w:p>
    <w:p w14:paraId="63BC9EEB" w14:textId="77777777" w:rsidR="000130F2" w:rsidRDefault="00227C9E" w:rsidP="00B62B8E">
      <w:pPr>
        <w:pStyle w:val="PargrafodaLista"/>
        <w:numPr>
          <w:ilvl w:val="0"/>
          <w:numId w:val="33"/>
        </w:numPr>
      </w:pPr>
      <w:r>
        <w:t xml:space="preserve">Poderão ser mantidas em carteira de investimentos, </w:t>
      </w:r>
      <w:r w:rsidRPr="00227C9E">
        <w:t xml:space="preserve">por até 180 (cento e oitenta) dias, as aplicações que passem a ficar desenquadradas em relação a </w:t>
      </w:r>
      <w:r w:rsidR="00B23BDA">
        <w:t>esta Política de Investimentos e a Resolução CMN nº 4.963/2021</w:t>
      </w:r>
      <w:r w:rsidRPr="00227C9E">
        <w:t xml:space="preserve">, desde que seja comprovado que o </w:t>
      </w:r>
      <w:proofErr w:type="spellStart"/>
      <w:r w:rsidRPr="00227C9E">
        <w:t>desenquadramento</w:t>
      </w:r>
      <w:proofErr w:type="spellEnd"/>
      <w:r w:rsidRPr="00227C9E">
        <w:t xml:space="preserve"> foi decorrente de situações involuntárias, para as quais não tenha dado causa, e que o seu desinvestimento ocasionaria, comparativamente à sua manutenção, maiores riscos para o atendimento aos princípios</w:t>
      </w:r>
      <w:r w:rsidR="00FB453B">
        <w:t xml:space="preserve"> </w:t>
      </w:r>
      <w:r w:rsidR="00CD01FC">
        <w:t xml:space="preserve">segurança, rentabilidade, solvência, liquidez, motivação, </w:t>
      </w:r>
      <w:r w:rsidR="00CB2B1E">
        <w:t>adequação a natureza de suas obrigações e transparência;</w:t>
      </w:r>
    </w:p>
    <w:p w14:paraId="1310BECA" w14:textId="77777777" w:rsidR="000130F2" w:rsidRDefault="000130F2" w:rsidP="000130F2">
      <w:pPr>
        <w:pStyle w:val="PargrafodaLista"/>
      </w:pPr>
    </w:p>
    <w:p w14:paraId="36C171B8" w14:textId="27403197" w:rsidR="00EA4FC5" w:rsidRPr="000130F2" w:rsidRDefault="009E1812" w:rsidP="00B62B8E">
      <w:pPr>
        <w:pStyle w:val="PargrafodaLista"/>
        <w:numPr>
          <w:ilvl w:val="0"/>
          <w:numId w:val="33"/>
        </w:numPr>
      </w:pPr>
      <w:r w:rsidRPr="000130F2">
        <w:rPr>
          <w:bCs/>
          <w:szCs w:val="20"/>
        </w:rPr>
        <w:t>Poderão ainda ser mantidas em carteira de investimentos</w:t>
      </w:r>
      <w:r w:rsidR="00FD70B0" w:rsidRPr="000130F2">
        <w:rPr>
          <w:bCs/>
          <w:szCs w:val="20"/>
        </w:rPr>
        <w:t xml:space="preserve">, até seu respectivo </w:t>
      </w:r>
      <w:r w:rsidR="00392141" w:rsidRPr="000130F2">
        <w:rPr>
          <w:bCs/>
          <w:szCs w:val="20"/>
        </w:rPr>
        <w:t>encerramento</w:t>
      </w:r>
      <w:r w:rsidR="00FD70B0" w:rsidRPr="000130F2">
        <w:rPr>
          <w:bCs/>
          <w:szCs w:val="20"/>
        </w:rPr>
        <w:t xml:space="preserve">, </w:t>
      </w:r>
      <w:r w:rsidRPr="000130F2">
        <w:rPr>
          <w:bCs/>
          <w:szCs w:val="20"/>
        </w:rPr>
        <w:t xml:space="preserve">os fundos de investimentos </w:t>
      </w:r>
      <w:r w:rsidR="00197C43" w:rsidRPr="000130F2">
        <w:rPr>
          <w:bCs/>
          <w:szCs w:val="20"/>
        </w:rPr>
        <w:t xml:space="preserve">que apresentem prazos para vencimento, resgate, carência ou </w:t>
      </w:r>
      <w:r w:rsidR="005E1138" w:rsidRPr="000130F2">
        <w:rPr>
          <w:bCs/>
          <w:szCs w:val="20"/>
        </w:rPr>
        <w:t>conversão de cotas superio</w:t>
      </w:r>
      <w:r w:rsidR="00E0582E" w:rsidRPr="000130F2">
        <w:rPr>
          <w:bCs/>
          <w:szCs w:val="20"/>
        </w:rPr>
        <w:t>r a</w:t>
      </w:r>
      <w:r w:rsidR="005E1138" w:rsidRPr="000130F2">
        <w:rPr>
          <w:bCs/>
          <w:szCs w:val="20"/>
        </w:rPr>
        <w:t xml:space="preserve"> </w:t>
      </w:r>
      <w:r w:rsidR="005E1138" w:rsidRPr="00227C9E">
        <w:t>180 (cento e oitenta) dias</w:t>
      </w:r>
      <w:r w:rsidR="00EA4FC5" w:rsidRPr="000130F2">
        <w:rPr>
          <w:bCs/>
          <w:szCs w:val="20"/>
        </w:rPr>
        <w:t xml:space="preserve">, </w:t>
      </w:r>
      <w:r w:rsidR="00FD70B0" w:rsidRPr="000130F2">
        <w:rPr>
          <w:bCs/>
          <w:szCs w:val="20"/>
        </w:rPr>
        <w:t xml:space="preserve">estando o </w:t>
      </w:r>
      <w:r w:rsidR="00EF58E3">
        <w:rPr>
          <w:b/>
          <w:bCs/>
          <w:color w:val="000000" w:themeColor="text1"/>
          <w:szCs w:val="20"/>
        </w:rPr>
        <w:t>MUNICÍ</w:t>
      </w:r>
      <w:r w:rsidR="00EF58E3" w:rsidRPr="006053F5">
        <w:rPr>
          <w:b/>
          <w:bCs/>
          <w:color w:val="000000" w:themeColor="text1"/>
          <w:szCs w:val="20"/>
        </w:rPr>
        <w:t>PIO</w:t>
      </w:r>
      <w:r w:rsidR="00EF58E3" w:rsidRPr="00716D43">
        <w:rPr>
          <w:b/>
          <w:color w:val="000000" w:themeColor="text1"/>
        </w:rPr>
        <w:t xml:space="preserve"> </w:t>
      </w:r>
      <w:r w:rsidR="001555E3" w:rsidRPr="00716D43">
        <w:rPr>
          <w:b/>
          <w:color w:val="000000" w:themeColor="text1"/>
        </w:rPr>
        <w:t>DE GUARACI</w:t>
      </w:r>
      <w:r w:rsidR="001555E3" w:rsidRPr="00516AB2">
        <w:t xml:space="preserve"> </w:t>
      </w:r>
      <w:r w:rsidR="00FD70B0" w:rsidRPr="000130F2">
        <w:rPr>
          <w:bCs/>
          <w:szCs w:val="20"/>
        </w:rPr>
        <w:t xml:space="preserve">obrigado </w:t>
      </w:r>
      <w:r w:rsidR="00392141" w:rsidRPr="000130F2">
        <w:rPr>
          <w:bCs/>
          <w:szCs w:val="20"/>
        </w:rPr>
        <w:t>a</w:t>
      </w:r>
      <w:r w:rsidR="00E0582E" w:rsidRPr="000130F2">
        <w:rPr>
          <w:bCs/>
          <w:szCs w:val="20"/>
        </w:rPr>
        <w:t xml:space="preserve"> demonstrar a</w:t>
      </w:r>
      <w:r w:rsidR="00EA4FC5" w:rsidRPr="000130F2">
        <w:rPr>
          <w:bCs/>
          <w:szCs w:val="20"/>
        </w:rPr>
        <w:t xml:space="preserve"> adoção de medidas de melhoria da governança e do controle de riscos na gestão d</w:t>
      </w:r>
      <w:r w:rsidR="0066494F" w:rsidRPr="000130F2">
        <w:rPr>
          <w:bCs/>
          <w:szCs w:val="20"/>
        </w:rPr>
        <w:t>os recursos.</w:t>
      </w:r>
    </w:p>
    <w:p w14:paraId="2B4E192F" w14:textId="77777777" w:rsidR="000130F2" w:rsidRDefault="005D2495" w:rsidP="00B62B8E">
      <w:pPr>
        <w:rPr>
          <w:bCs/>
          <w:szCs w:val="20"/>
        </w:rPr>
      </w:pPr>
      <w:r>
        <w:rPr>
          <w:bCs/>
          <w:szCs w:val="20"/>
        </w:rPr>
        <w:t>S</w:t>
      </w:r>
      <w:r w:rsidR="009E1812" w:rsidRPr="00516AB2">
        <w:rPr>
          <w:bCs/>
          <w:szCs w:val="20"/>
        </w:rPr>
        <w:t>erão entendidos como</w:t>
      </w:r>
      <w:r>
        <w:rPr>
          <w:bCs/>
          <w:szCs w:val="20"/>
        </w:rPr>
        <w:t xml:space="preserve"> </w:t>
      </w:r>
      <w:r w:rsidRPr="005D2495">
        <w:rPr>
          <w:bCs/>
          <w:szCs w:val="20"/>
        </w:rPr>
        <w:t>situações involuntárias</w:t>
      </w:r>
      <w:r w:rsidR="00721C93">
        <w:rPr>
          <w:bCs/>
          <w:szCs w:val="20"/>
        </w:rPr>
        <w:t>:</w:t>
      </w:r>
    </w:p>
    <w:p w14:paraId="3FB8D741" w14:textId="77777777" w:rsidR="000130F2" w:rsidRDefault="00BA4AF7" w:rsidP="00B62B8E">
      <w:pPr>
        <w:pStyle w:val="PargrafodaLista"/>
        <w:numPr>
          <w:ilvl w:val="0"/>
          <w:numId w:val="34"/>
        </w:numPr>
        <w:rPr>
          <w:bCs/>
          <w:szCs w:val="20"/>
        </w:rPr>
      </w:pPr>
      <w:r w:rsidRPr="000130F2">
        <w:rPr>
          <w:bCs/>
          <w:szCs w:val="20"/>
        </w:rPr>
        <w:t>E</w:t>
      </w:r>
      <w:r w:rsidR="00DD18D2" w:rsidRPr="000130F2">
        <w:rPr>
          <w:bCs/>
          <w:szCs w:val="20"/>
        </w:rPr>
        <w:t>ntrada em vigor de alterações da Resolução vigente;</w:t>
      </w:r>
    </w:p>
    <w:p w14:paraId="32909539" w14:textId="77777777" w:rsidR="000130F2" w:rsidRDefault="000130F2" w:rsidP="000130F2">
      <w:pPr>
        <w:pStyle w:val="PargrafodaLista"/>
        <w:rPr>
          <w:bCs/>
          <w:szCs w:val="20"/>
        </w:rPr>
      </w:pPr>
    </w:p>
    <w:p w14:paraId="7779CB9F" w14:textId="02693624" w:rsidR="000130F2" w:rsidRDefault="00BA4AF7" w:rsidP="00B62B8E">
      <w:pPr>
        <w:pStyle w:val="PargrafodaLista"/>
        <w:numPr>
          <w:ilvl w:val="0"/>
          <w:numId w:val="34"/>
        </w:numPr>
        <w:rPr>
          <w:bCs/>
          <w:szCs w:val="20"/>
        </w:rPr>
      </w:pPr>
      <w:r w:rsidRPr="000130F2">
        <w:rPr>
          <w:bCs/>
          <w:szCs w:val="20"/>
        </w:rPr>
        <w:t>R</w:t>
      </w:r>
      <w:r w:rsidR="00DD18D2" w:rsidRPr="000130F2">
        <w:rPr>
          <w:bCs/>
          <w:szCs w:val="20"/>
        </w:rPr>
        <w:t xml:space="preserve">esgate de cotas de fundos de investimento por um outro cotista, nos quais o </w:t>
      </w:r>
      <w:r w:rsidR="00EF58E3">
        <w:rPr>
          <w:b/>
          <w:bCs/>
          <w:color w:val="000000" w:themeColor="text1"/>
          <w:szCs w:val="20"/>
        </w:rPr>
        <w:t>MUNICÍ</w:t>
      </w:r>
      <w:r w:rsidR="00EF58E3" w:rsidRPr="006053F5">
        <w:rPr>
          <w:b/>
          <w:bCs/>
          <w:color w:val="000000" w:themeColor="text1"/>
          <w:szCs w:val="20"/>
        </w:rPr>
        <w:t>PIO</w:t>
      </w:r>
      <w:r w:rsidR="00EF58E3" w:rsidRPr="00716D43">
        <w:rPr>
          <w:b/>
          <w:color w:val="000000" w:themeColor="text1"/>
        </w:rPr>
        <w:t xml:space="preserve"> </w:t>
      </w:r>
      <w:r w:rsidR="001555E3" w:rsidRPr="00716D43">
        <w:rPr>
          <w:b/>
          <w:color w:val="000000" w:themeColor="text1"/>
        </w:rPr>
        <w:t>DE GUARACI</w:t>
      </w:r>
      <w:r w:rsidR="001555E3" w:rsidRPr="00516AB2">
        <w:t xml:space="preserve"> </w:t>
      </w:r>
      <w:r w:rsidR="00DD18D2" w:rsidRPr="000130F2">
        <w:rPr>
          <w:bCs/>
          <w:szCs w:val="20"/>
        </w:rPr>
        <w:t>não efetue novos aportes;</w:t>
      </w:r>
    </w:p>
    <w:p w14:paraId="16859D15" w14:textId="77777777" w:rsidR="000130F2" w:rsidRPr="000130F2" w:rsidRDefault="000130F2" w:rsidP="000130F2">
      <w:pPr>
        <w:pStyle w:val="PargrafodaLista"/>
        <w:rPr>
          <w:bCs/>
          <w:szCs w:val="20"/>
        </w:rPr>
      </w:pPr>
    </w:p>
    <w:p w14:paraId="335BBA66" w14:textId="3FADE820" w:rsidR="000130F2" w:rsidRDefault="00BA4AF7" w:rsidP="00B62B8E">
      <w:pPr>
        <w:pStyle w:val="PargrafodaLista"/>
        <w:numPr>
          <w:ilvl w:val="0"/>
          <w:numId w:val="34"/>
        </w:numPr>
        <w:rPr>
          <w:bCs/>
          <w:szCs w:val="20"/>
        </w:rPr>
      </w:pPr>
      <w:r w:rsidRPr="000130F2">
        <w:rPr>
          <w:bCs/>
          <w:szCs w:val="20"/>
        </w:rPr>
        <w:t>V</w:t>
      </w:r>
      <w:r w:rsidR="008736C1" w:rsidRPr="000130F2">
        <w:rPr>
          <w:bCs/>
          <w:szCs w:val="20"/>
        </w:rPr>
        <w:t>alorização ou desvalorização d</w:t>
      </w:r>
      <w:r w:rsidR="00C14F7B" w:rsidRPr="000130F2">
        <w:rPr>
          <w:bCs/>
          <w:szCs w:val="20"/>
        </w:rPr>
        <w:t xml:space="preserve">os demais </w:t>
      </w:r>
      <w:r w:rsidR="008736C1" w:rsidRPr="000130F2">
        <w:rPr>
          <w:bCs/>
          <w:szCs w:val="20"/>
        </w:rPr>
        <w:t xml:space="preserve">ativos financeiros </w:t>
      </w:r>
      <w:r w:rsidR="008004B8" w:rsidRPr="000130F2">
        <w:rPr>
          <w:bCs/>
          <w:szCs w:val="20"/>
        </w:rPr>
        <w:t xml:space="preserve">e fundos de investimentos que incorporam a carteira de investimentos do </w:t>
      </w:r>
      <w:r w:rsidR="00EF58E3">
        <w:rPr>
          <w:b/>
          <w:bCs/>
          <w:color w:val="000000" w:themeColor="text1"/>
          <w:szCs w:val="20"/>
        </w:rPr>
        <w:t>MUNICÍ</w:t>
      </w:r>
      <w:r w:rsidR="00EF58E3" w:rsidRPr="006053F5">
        <w:rPr>
          <w:b/>
          <w:bCs/>
          <w:color w:val="000000" w:themeColor="text1"/>
          <w:szCs w:val="20"/>
        </w:rPr>
        <w:t>PIO</w:t>
      </w:r>
      <w:r w:rsidR="00EF58E3" w:rsidRPr="00716D43">
        <w:rPr>
          <w:b/>
          <w:color w:val="000000" w:themeColor="text1"/>
        </w:rPr>
        <w:t xml:space="preserve"> </w:t>
      </w:r>
      <w:r w:rsidR="001555E3" w:rsidRPr="00716D43">
        <w:rPr>
          <w:b/>
          <w:color w:val="000000" w:themeColor="text1"/>
        </w:rPr>
        <w:t>DE GUARACI</w:t>
      </w:r>
      <w:r w:rsidR="008736C1" w:rsidRPr="000130F2">
        <w:rPr>
          <w:bCs/>
          <w:szCs w:val="20"/>
        </w:rPr>
        <w:t>;</w:t>
      </w:r>
    </w:p>
    <w:p w14:paraId="610AB963" w14:textId="77777777" w:rsidR="000130F2" w:rsidRPr="000130F2" w:rsidRDefault="000130F2" w:rsidP="000130F2">
      <w:pPr>
        <w:pStyle w:val="PargrafodaLista"/>
        <w:rPr>
          <w:bCs/>
          <w:szCs w:val="20"/>
        </w:rPr>
      </w:pPr>
    </w:p>
    <w:p w14:paraId="0C8A0AA4" w14:textId="4B476204" w:rsidR="000130F2" w:rsidRDefault="00BA4AF7" w:rsidP="00B62B8E">
      <w:pPr>
        <w:pStyle w:val="PargrafodaLista"/>
        <w:numPr>
          <w:ilvl w:val="0"/>
          <w:numId w:val="34"/>
        </w:numPr>
        <w:rPr>
          <w:bCs/>
          <w:szCs w:val="20"/>
        </w:rPr>
      </w:pPr>
      <w:r w:rsidRPr="000130F2">
        <w:rPr>
          <w:bCs/>
          <w:szCs w:val="20"/>
        </w:rPr>
        <w:t>Reorganização da estrutura do fundo de investimento em decorrência de incorporação, fusão, cisão e transformação ou de outras deliberações da assembleia geral de cotistas, após as aplicações realizadas pel</w:t>
      </w:r>
      <w:r w:rsidR="003A19E5" w:rsidRPr="000130F2">
        <w:rPr>
          <w:bCs/>
          <w:szCs w:val="20"/>
        </w:rPr>
        <w:t xml:space="preserve">o </w:t>
      </w:r>
      <w:r w:rsidR="00EF58E3">
        <w:rPr>
          <w:b/>
          <w:bCs/>
          <w:color w:val="000000" w:themeColor="text1"/>
          <w:szCs w:val="20"/>
        </w:rPr>
        <w:t>MUNICÍ</w:t>
      </w:r>
      <w:r w:rsidR="00EF58E3" w:rsidRPr="006053F5">
        <w:rPr>
          <w:b/>
          <w:bCs/>
          <w:color w:val="000000" w:themeColor="text1"/>
          <w:szCs w:val="20"/>
        </w:rPr>
        <w:t>PIO</w:t>
      </w:r>
      <w:r w:rsidR="00EF58E3" w:rsidRPr="00716D43">
        <w:rPr>
          <w:b/>
          <w:color w:val="000000" w:themeColor="text1"/>
        </w:rPr>
        <w:t xml:space="preserve"> </w:t>
      </w:r>
      <w:r w:rsidR="001555E3" w:rsidRPr="00716D43">
        <w:rPr>
          <w:b/>
          <w:color w:val="000000" w:themeColor="text1"/>
        </w:rPr>
        <w:t>DE GUARACI</w:t>
      </w:r>
      <w:r w:rsidRPr="000130F2">
        <w:rPr>
          <w:bCs/>
          <w:szCs w:val="20"/>
        </w:rPr>
        <w:t>;</w:t>
      </w:r>
    </w:p>
    <w:p w14:paraId="26C6DCB1" w14:textId="77777777" w:rsidR="000130F2" w:rsidRPr="000130F2" w:rsidRDefault="000130F2" w:rsidP="000130F2">
      <w:pPr>
        <w:pStyle w:val="PargrafodaLista"/>
        <w:rPr>
          <w:bCs/>
          <w:szCs w:val="20"/>
        </w:rPr>
      </w:pPr>
    </w:p>
    <w:p w14:paraId="421150FD" w14:textId="37B93E8B" w:rsidR="000130F2" w:rsidRDefault="009914DA" w:rsidP="00B62B8E">
      <w:pPr>
        <w:pStyle w:val="PargrafodaLista"/>
        <w:numPr>
          <w:ilvl w:val="0"/>
          <w:numId w:val="34"/>
        </w:numPr>
        <w:rPr>
          <w:bCs/>
          <w:szCs w:val="20"/>
        </w:rPr>
      </w:pPr>
      <w:r w:rsidRPr="000130F2">
        <w:rPr>
          <w:bCs/>
          <w:szCs w:val="20"/>
        </w:rPr>
        <w:t>O</w:t>
      </w:r>
      <w:r w:rsidR="00E44FDE" w:rsidRPr="000130F2">
        <w:rPr>
          <w:bCs/>
          <w:szCs w:val="20"/>
        </w:rPr>
        <w:t xml:space="preserve">corrência de eventos de riscos que prejudiquem a formação das reservas e a evolução do patrimônio do </w:t>
      </w:r>
      <w:r w:rsidR="00EF58E3">
        <w:rPr>
          <w:b/>
          <w:bCs/>
          <w:color w:val="000000" w:themeColor="text1"/>
          <w:szCs w:val="20"/>
        </w:rPr>
        <w:t>MUNICÍ</w:t>
      </w:r>
      <w:r w:rsidR="00EF58E3" w:rsidRPr="006053F5">
        <w:rPr>
          <w:b/>
          <w:bCs/>
          <w:color w:val="000000" w:themeColor="text1"/>
          <w:szCs w:val="20"/>
        </w:rPr>
        <w:t>PIO</w:t>
      </w:r>
      <w:r w:rsidR="00EF58E3" w:rsidRPr="00716D43">
        <w:rPr>
          <w:b/>
          <w:color w:val="000000" w:themeColor="text1"/>
        </w:rPr>
        <w:t xml:space="preserve"> </w:t>
      </w:r>
      <w:r w:rsidR="00EF58E3">
        <w:rPr>
          <w:b/>
          <w:color w:val="000000" w:themeColor="text1"/>
        </w:rPr>
        <w:t>D</w:t>
      </w:r>
      <w:r w:rsidR="001555E3" w:rsidRPr="00716D43">
        <w:rPr>
          <w:b/>
          <w:color w:val="000000" w:themeColor="text1"/>
        </w:rPr>
        <w:t>E GUARACI</w:t>
      </w:r>
      <w:r w:rsidR="001555E3" w:rsidRPr="00516AB2">
        <w:t xml:space="preserve"> </w:t>
      </w:r>
      <w:r w:rsidR="00E44FDE" w:rsidRPr="000130F2">
        <w:rPr>
          <w:bCs/>
          <w:szCs w:val="20"/>
        </w:rPr>
        <w:t>ou quando decorrentes de revisão do plano de custeio e da segregação da ma</w:t>
      </w:r>
      <w:r w:rsidR="003B05F2" w:rsidRPr="000130F2">
        <w:rPr>
          <w:bCs/>
          <w:szCs w:val="20"/>
        </w:rPr>
        <w:t>ssa</w:t>
      </w:r>
      <w:r w:rsidR="00E44FDE" w:rsidRPr="000130F2">
        <w:rPr>
          <w:bCs/>
          <w:szCs w:val="20"/>
        </w:rPr>
        <w:t>;</w:t>
      </w:r>
    </w:p>
    <w:p w14:paraId="2D5CCD02" w14:textId="77777777" w:rsidR="000130F2" w:rsidRPr="000130F2" w:rsidRDefault="000130F2" w:rsidP="000130F2">
      <w:pPr>
        <w:pStyle w:val="PargrafodaLista"/>
        <w:rPr>
          <w:bCs/>
          <w:szCs w:val="20"/>
        </w:rPr>
      </w:pPr>
    </w:p>
    <w:p w14:paraId="75B15FC9" w14:textId="2D9F1319" w:rsidR="000130F2" w:rsidRPr="009E7C34" w:rsidRDefault="009914DA" w:rsidP="00B62B8E">
      <w:pPr>
        <w:pStyle w:val="PargrafodaLista"/>
        <w:numPr>
          <w:ilvl w:val="0"/>
          <w:numId w:val="34"/>
        </w:numPr>
        <w:rPr>
          <w:bCs/>
          <w:szCs w:val="20"/>
        </w:rPr>
      </w:pPr>
      <w:r w:rsidRPr="009E7C34">
        <w:rPr>
          <w:bCs/>
          <w:szCs w:val="20"/>
        </w:rPr>
        <w:t xml:space="preserve">Aplicações efetuadas na aquisição de cotas de fundo de investimento destinado exclusivamente a investidores qualificados ou profissionais, caso o </w:t>
      </w:r>
      <w:r w:rsidR="00EF58E3">
        <w:rPr>
          <w:b/>
          <w:bCs/>
          <w:color w:val="000000" w:themeColor="text1"/>
          <w:szCs w:val="20"/>
        </w:rPr>
        <w:t>MUNICÍ</w:t>
      </w:r>
      <w:r w:rsidR="00EF58E3" w:rsidRPr="006053F5">
        <w:rPr>
          <w:b/>
          <w:bCs/>
          <w:color w:val="000000" w:themeColor="text1"/>
          <w:szCs w:val="20"/>
        </w:rPr>
        <w:t>PIO</w:t>
      </w:r>
      <w:r w:rsidR="00EF58E3" w:rsidRPr="00716D43">
        <w:rPr>
          <w:b/>
          <w:color w:val="000000" w:themeColor="text1"/>
        </w:rPr>
        <w:t xml:space="preserve"> </w:t>
      </w:r>
      <w:r w:rsidR="001555E3" w:rsidRPr="00716D43">
        <w:rPr>
          <w:b/>
          <w:color w:val="000000" w:themeColor="text1"/>
        </w:rPr>
        <w:t>DE GUARACI</w:t>
      </w:r>
      <w:r w:rsidR="001555E3" w:rsidRPr="00516AB2">
        <w:t xml:space="preserve"> </w:t>
      </w:r>
      <w:r w:rsidRPr="009E7C34">
        <w:rPr>
          <w:bCs/>
          <w:szCs w:val="20"/>
        </w:rPr>
        <w:t>deixe de atender aos critérios estabelecidos para essa categorização em regulamentação específica</w:t>
      </w:r>
      <w:r w:rsidR="00A440F4" w:rsidRPr="009E7C34">
        <w:rPr>
          <w:bCs/>
          <w:szCs w:val="20"/>
        </w:rPr>
        <w:t>, c</w:t>
      </w:r>
      <w:r w:rsidR="004C3ABD" w:rsidRPr="009E7C34">
        <w:rPr>
          <w:bCs/>
          <w:szCs w:val="20"/>
        </w:rPr>
        <w:t xml:space="preserve">om </w:t>
      </w:r>
      <w:r w:rsidR="00A440F4" w:rsidRPr="009E7C34">
        <w:rPr>
          <w:bCs/>
          <w:szCs w:val="20"/>
        </w:rPr>
        <w:t>exceção</w:t>
      </w:r>
      <w:r w:rsidR="004C3ABD" w:rsidRPr="009E7C34">
        <w:rPr>
          <w:bCs/>
          <w:szCs w:val="20"/>
        </w:rPr>
        <w:t xml:space="preserve"> do exposto na Nota Técnica</w:t>
      </w:r>
      <w:r w:rsidR="00A440F4" w:rsidRPr="009E7C34">
        <w:rPr>
          <w:bCs/>
          <w:szCs w:val="20"/>
        </w:rPr>
        <w:t xml:space="preserve"> SEI nº 457/2022/MTP</w:t>
      </w:r>
      <w:r w:rsidRPr="009E7C34">
        <w:rPr>
          <w:bCs/>
          <w:szCs w:val="20"/>
        </w:rPr>
        <w:t>; e</w:t>
      </w:r>
    </w:p>
    <w:p w14:paraId="30B49E8D" w14:textId="77777777" w:rsidR="000130F2" w:rsidRPr="009E7C34" w:rsidRDefault="000130F2" w:rsidP="000130F2">
      <w:pPr>
        <w:pStyle w:val="PargrafodaLista"/>
        <w:rPr>
          <w:bCs/>
          <w:szCs w:val="20"/>
        </w:rPr>
      </w:pPr>
    </w:p>
    <w:p w14:paraId="79AA342A" w14:textId="087E7093" w:rsidR="00206F8B" w:rsidRPr="009E7C34" w:rsidRDefault="00206F8B" w:rsidP="00B62B8E">
      <w:pPr>
        <w:pStyle w:val="PargrafodaLista"/>
        <w:numPr>
          <w:ilvl w:val="0"/>
          <w:numId w:val="34"/>
        </w:numPr>
        <w:rPr>
          <w:bCs/>
          <w:szCs w:val="20"/>
        </w:rPr>
      </w:pPr>
      <w:r w:rsidRPr="009E7C34">
        <w:rPr>
          <w:bCs/>
          <w:szCs w:val="20"/>
        </w:rPr>
        <w:t>Aplicações efetuadas em fundos de investimentos ou ativos financeiros que deixarem de observar os requisitos e condições previstos na Resolução CMN nº 4.963/2021.</w:t>
      </w:r>
    </w:p>
    <w:p w14:paraId="7F2791C0" w14:textId="6D7289E8" w:rsidR="009E1812" w:rsidRPr="009E7C34" w:rsidRDefault="000875DA" w:rsidP="00B62B8E">
      <w:pPr>
        <w:rPr>
          <w:bCs/>
          <w:szCs w:val="20"/>
        </w:rPr>
      </w:pPr>
      <w:r w:rsidRPr="009E7C34">
        <w:rPr>
          <w:bCs/>
          <w:szCs w:val="20"/>
        </w:rPr>
        <w:lastRenderedPageBreak/>
        <w:t xml:space="preserve">Complementarmente ao processo de Credenciamento, </w:t>
      </w:r>
      <w:r w:rsidR="00720DA5" w:rsidRPr="009E7C34">
        <w:rPr>
          <w:bCs/>
          <w:szCs w:val="20"/>
        </w:rPr>
        <w:t xml:space="preserve">somente </w:t>
      </w:r>
      <w:r w:rsidR="009E1812" w:rsidRPr="009E7C34">
        <w:rPr>
          <w:bCs/>
          <w:szCs w:val="20"/>
        </w:rPr>
        <w:t xml:space="preserve">serão considerados </w:t>
      </w:r>
      <w:r w:rsidR="00720DA5" w:rsidRPr="009E7C34">
        <w:rPr>
          <w:bCs/>
          <w:szCs w:val="20"/>
        </w:rPr>
        <w:t xml:space="preserve">aptos </w:t>
      </w:r>
      <w:r w:rsidR="00A335EA" w:rsidRPr="009E7C34">
        <w:rPr>
          <w:bCs/>
          <w:szCs w:val="20"/>
        </w:rPr>
        <w:t xml:space="preserve">ou enquadrados </w:t>
      </w:r>
      <w:r w:rsidR="00720DA5" w:rsidRPr="009E7C34">
        <w:rPr>
          <w:bCs/>
          <w:szCs w:val="20"/>
        </w:rPr>
        <w:t xml:space="preserve">a receberem recursos do </w:t>
      </w:r>
      <w:r w:rsidR="00EF58E3">
        <w:rPr>
          <w:b/>
          <w:bCs/>
          <w:color w:val="000000" w:themeColor="text1"/>
          <w:szCs w:val="20"/>
        </w:rPr>
        <w:t>MUNICÍ</w:t>
      </w:r>
      <w:r w:rsidR="00EF58E3" w:rsidRPr="006053F5">
        <w:rPr>
          <w:b/>
          <w:bCs/>
          <w:color w:val="000000" w:themeColor="text1"/>
          <w:szCs w:val="20"/>
        </w:rPr>
        <w:t>PIO</w:t>
      </w:r>
      <w:r w:rsidR="00EF58E3" w:rsidRPr="00716D43">
        <w:rPr>
          <w:b/>
          <w:color w:val="000000" w:themeColor="text1"/>
        </w:rPr>
        <w:t xml:space="preserve"> </w:t>
      </w:r>
      <w:r w:rsidR="001555E3" w:rsidRPr="00716D43">
        <w:rPr>
          <w:b/>
          <w:color w:val="000000" w:themeColor="text1"/>
        </w:rPr>
        <w:t>DE GUARACI</w:t>
      </w:r>
      <w:r w:rsidR="00166AD3" w:rsidRPr="009E7C34">
        <w:rPr>
          <w:bCs/>
          <w:szCs w:val="20"/>
        </w:rPr>
        <w:t xml:space="preserve">, </w:t>
      </w:r>
      <w:r w:rsidR="009E1812" w:rsidRPr="009E7C34">
        <w:rPr>
          <w:bCs/>
          <w:szCs w:val="20"/>
        </w:rPr>
        <w:t xml:space="preserve">os fundos de investimento que </w:t>
      </w:r>
      <w:r w:rsidR="00C60BA8" w:rsidRPr="009E7C34">
        <w:rPr>
          <w:bCs/>
          <w:szCs w:val="20"/>
        </w:rPr>
        <w:t>possuam</w:t>
      </w:r>
      <w:r w:rsidR="009E1812" w:rsidRPr="009E7C34">
        <w:rPr>
          <w:bCs/>
          <w:szCs w:val="20"/>
        </w:rPr>
        <w:t xml:space="preserve"> por prestador</w:t>
      </w:r>
      <w:r w:rsidR="00AB1255" w:rsidRPr="009E7C34">
        <w:rPr>
          <w:bCs/>
          <w:szCs w:val="20"/>
        </w:rPr>
        <w:t>es</w:t>
      </w:r>
      <w:r w:rsidR="009E1812" w:rsidRPr="009E7C34">
        <w:rPr>
          <w:bCs/>
          <w:szCs w:val="20"/>
        </w:rPr>
        <w:t xml:space="preserve"> de serviços de gestão </w:t>
      </w:r>
      <w:r w:rsidR="00AB1255" w:rsidRPr="009E7C34">
        <w:rPr>
          <w:bCs/>
          <w:szCs w:val="20"/>
        </w:rPr>
        <w:t xml:space="preserve">e </w:t>
      </w:r>
      <w:r w:rsidR="009E1812" w:rsidRPr="009E7C34">
        <w:rPr>
          <w:bCs/>
          <w:szCs w:val="20"/>
        </w:rPr>
        <w:t>administra</w:t>
      </w:r>
      <w:r w:rsidR="00166AD3" w:rsidRPr="009E7C34">
        <w:rPr>
          <w:bCs/>
          <w:szCs w:val="20"/>
        </w:rPr>
        <w:t xml:space="preserve">ção </w:t>
      </w:r>
      <w:r w:rsidR="00AB1255" w:rsidRPr="009E7C34">
        <w:rPr>
          <w:bCs/>
          <w:szCs w:val="20"/>
        </w:rPr>
        <w:t xml:space="preserve">de recursos, </w:t>
      </w:r>
      <w:r w:rsidR="00E83819" w:rsidRPr="009E7C34">
        <w:rPr>
          <w:bCs/>
          <w:szCs w:val="20"/>
        </w:rPr>
        <w:t xml:space="preserve">as Instituições Financeiras </w:t>
      </w:r>
      <w:r w:rsidR="009E1812" w:rsidRPr="009E7C34">
        <w:rPr>
          <w:bCs/>
          <w:szCs w:val="20"/>
        </w:rPr>
        <w:t>que atendem cumulativamente as condições:</w:t>
      </w:r>
    </w:p>
    <w:p w14:paraId="79468845" w14:textId="77777777" w:rsidR="00EC2F83" w:rsidRPr="009E7C34" w:rsidRDefault="009E1812" w:rsidP="00B62B8E">
      <w:pPr>
        <w:pStyle w:val="PargrafodaLista"/>
        <w:numPr>
          <w:ilvl w:val="0"/>
          <w:numId w:val="35"/>
        </w:numPr>
        <w:rPr>
          <w:bCs/>
          <w:szCs w:val="20"/>
        </w:rPr>
      </w:pPr>
      <w:r w:rsidRPr="009E7C34">
        <w:rPr>
          <w:bCs/>
          <w:szCs w:val="20"/>
        </w:rPr>
        <w:t xml:space="preserve">O administrador </w:t>
      </w:r>
      <w:r w:rsidR="00C60BA8" w:rsidRPr="009E7C34">
        <w:rPr>
          <w:bCs/>
          <w:szCs w:val="20"/>
        </w:rPr>
        <w:t>ou</w:t>
      </w:r>
      <w:r w:rsidRPr="009E7C34">
        <w:rPr>
          <w:bCs/>
          <w:szCs w:val="20"/>
        </w:rPr>
        <w:t xml:space="preserve"> gestor dos recursos seja instituição autorizada a funcionar pelo Banco Central do Brasil</w:t>
      </w:r>
      <w:r w:rsidR="00C60BA8" w:rsidRPr="009E7C34">
        <w:rPr>
          <w:bCs/>
          <w:szCs w:val="20"/>
        </w:rPr>
        <w:t>,</w:t>
      </w:r>
      <w:r w:rsidRPr="009E7C34">
        <w:rPr>
          <w:bCs/>
          <w:szCs w:val="20"/>
        </w:rPr>
        <w:t xml:space="preserve"> obrigada a instituir comitê de auditoria e comitê de riscos</w:t>
      </w:r>
      <w:r w:rsidR="00646C22" w:rsidRPr="009E7C34">
        <w:rPr>
          <w:bCs/>
          <w:szCs w:val="20"/>
        </w:rPr>
        <w:t xml:space="preserve"> nos termos da regulamentação do Conselho Monetário Nacional</w:t>
      </w:r>
      <w:r w:rsidRPr="009E7C34">
        <w:rPr>
          <w:bCs/>
          <w:szCs w:val="20"/>
        </w:rPr>
        <w:t>;</w:t>
      </w:r>
    </w:p>
    <w:p w14:paraId="2D3BC0B1" w14:textId="77777777" w:rsidR="00EC2F83" w:rsidRPr="009E7C34" w:rsidRDefault="00EC2F83" w:rsidP="00EC2F83">
      <w:pPr>
        <w:pStyle w:val="PargrafodaLista"/>
        <w:rPr>
          <w:bCs/>
          <w:szCs w:val="20"/>
        </w:rPr>
      </w:pPr>
    </w:p>
    <w:p w14:paraId="704F496E" w14:textId="77777777" w:rsidR="00EC2F83" w:rsidRPr="009E7C34" w:rsidRDefault="009E1812" w:rsidP="00B62B8E">
      <w:pPr>
        <w:pStyle w:val="PargrafodaLista"/>
        <w:numPr>
          <w:ilvl w:val="0"/>
          <w:numId w:val="35"/>
        </w:numPr>
        <w:rPr>
          <w:bCs/>
          <w:szCs w:val="20"/>
        </w:rPr>
      </w:pPr>
      <w:r w:rsidRPr="009E7C34">
        <w:rPr>
          <w:bCs/>
          <w:szCs w:val="20"/>
        </w:rPr>
        <w:t xml:space="preserve">O administrador do fundo de investimento detenha, no máximo, 50% </w:t>
      </w:r>
      <w:r w:rsidR="00DC1CF9" w:rsidRPr="009E7C34">
        <w:rPr>
          <w:bCs/>
          <w:szCs w:val="20"/>
        </w:rPr>
        <w:t>dos recursos sob sua administração oriundos Regimes Próprios de Previdência Social</w:t>
      </w:r>
      <w:r w:rsidRPr="009E7C34">
        <w:rPr>
          <w:bCs/>
          <w:szCs w:val="20"/>
        </w:rPr>
        <w:t xml:space="preserve"> e</w:t>
      </w:r>
    </w:p>
    <w:p w14:paraId="2CC0E584" w14:textId="77777777" w:rsidR="00EC2F83" w:rsidRPr="00EC2F83" w:rsidRDefault="00EC2F83" w:rsidP="00EC2F83">
      <w:pPr>
        <w:pStyle w:val="PargrafodaLista"/>
        <w:rPr>
          <w:bCs/>
          <w:szCs w:val="20"/>
        </w:rPr>
      </w:pPr>
    </w:p>
    <w:p w14:paraId="2DDF7ABC" w14:textId="6869619B" w:rsidR="009E1812" w:rsidRPr="00EC2F83" w:rsidRDefault="009E1812" w:rsidP="00B62B8E">
      <w:pPr>
        <w:pStyle w:val="PargrafodaLista"/>
        <w:numPr>
          <w:ilvl w:val="0"/>
          <w:numId w:val="35"/>
        </w:numPr>
        <w:rPr>
          <w:bCs/>
          <w:szCs w:val="20"/>
        </w:rPr>
      </w:pPr>
      <w:r w:rsidRPr="00EC2F83">
        <w:rPr>
          <w:bCs/>
          <w:szCs w:val="20"/>
        </w:rPr>
        <w:t>O gestor e o administrador do fundo de investimento tenham sido objeto de prévio credenciamento e que seja considerado pelos responsáveis pela gestão dos recursos do</w:t>
      </w:r>
      <w:r w:rsidR="00787787" w:rsidRPr="00EC2F83">
        <w:rPr>
          <w:bCs/>
          <w:szCs w:val="20"/>
        </w:rPr>
        <w:t xml:space="preserve"> </w:t>
      </w:r>
      <w:r w:rsidR="00EF58E3">
        <w:rPr>
          <w:b/>
          <w:bCs/>
          <w:color w:val="000000" w:themeColor="text1"/>
          <w:szCs w:val="20"/>
        </w:rPr>
        <w:t>MUNICÍ</w:t>
      </w:r>
      <w:r w:rsidR="00EF58E3" w:rsidRPr="006053F5">
        <w:rPr>
          <w:b/>
          <w:bCs/>
          <w:color w:val="000000" w:themeColor="text1"/>
          <w:szCs w:val="20"/>
        </w:rPr>
        <w:t>PIO</w:t>
      </w:r>
      <w:r w:rsidR="00EF58E3" w:rsidRPr="00716D43">
        <w:rPr>
          <w:b/>
          <w:color w:val="000000" w:themeColor="text1"/>
        </w:rPr>
        <w:t xml:space="preserve"> </w:t>
      </w:r>
      <w:r w:rsidR="001555E3" w:rsidRPr="00716D43">
        <w:rPr>
          <w:b/>
          <w:color w:val="000000" w:themeColor="text1"/>
        </w:rPr>
        <w:t>DE GUARACI</w:t>
      </w:r>
      <w:r w:rsidR="001555E3" w:rsidRPr="00516AB2">
        <w:t xml:space="preserve"> </w:t>
      </w:r>
      <w:r w:rsidRPr="00EC2F83">
        <w:rPr>
          <w:bCs/>
          <w:szCs w:val="20"/>
        </w:rPr>
        <w:t>como de boa qualidade de gestão e ambiente de controle de investimento.</w:t>
      </w:r>
    </w:p>
    <w:p w14:paraId="717445DA" w14:textId="6F949756" w:rsidR="009E1812" w:rsidRDefault="009E1812" w:rsidP="00B62B8E">
      <w:r>
        <w:rPr>
          <w:bCs/>
          <w:szCs w:val="20"/>
        </w:rPr>
        <w:t xml:space="preserve">Em atendimento aos requisitos dispostos, deverão ser observados apenas quando da aplicação dos recursos, podendo os fundos de investimentos não enquadrados nos termos acima, permanecer na carteira de investimentos do </w:t>
      </w:r>
      <w:r w:rsidR="00EF58E3">
        <w:rPr>
          <w:b/>
          <w:bCs/>
          <w:color w:val="000000" w:themeColor="text1"/>
          <w:szCs w:val="20"/>
        </w:rPr>
        <w:t>MUNICÍ</w:t>
      </w:r>
      <w:r w:rsidR="00EF58E3" w:rsidRPr="006053F5">
        <w:rPr>
          <w:b/>
          <w:bCs/>
          <w:color w:val="000000" w:themeColor="text1"/>
          <w:szCs w:val="20"/>
        </w:rPr>
        <w:t>PIO</w:t>
      </w:r>
      <w:r w:rsidR="00EF58E3" w:rsidRPr="00716D43">
        <w:rPr>
          <w:b/>
          <w:color w:val="000000" w:themeColor="text1"/>
        </w:rPr>
        <w:t xml:space="preserve"> </w:t>
      </w:r>
      <w:r w:rsidR="001555E3" w:rsidRPr="00716D43">
        <w:rPr>
          <w:b/>
          <w:color w:val="000000" w:themeColor="text1"/>
        </w:rPr>
        <w:t>DE GUARACI</w:t>
      </w:r>
      <w:r w:rsidR="001555E3" w:rsidRPr="00516AB2">
        <w:t xml:space="preserve"> </w:t>
      </w:r>
      <w:r w:rsidRPr="009C66AE">
        <w:t>até seu respectivo resgate ou vencimento.</w:t>
      </w:r>
    </w:p>
    <w:p w14:paraId="14A8A7F2" w14:textId="7D10245C" w:rsidR="009E1812" w:rsidRDefault="009E1812" w:rsidP="00B62B8E">
      <w:r>
        <w:t xml:space="preserve">Na obtenção da Certificação Institucional Pró-Gestão, não serão considerados </w:t>
      </w:r>
      <w:proofErr w:type="spellStart"/>
      <w:r>
        <w:t>desenquadramentos</w:t>
      </w:r>
      <w:proofErr w:type="spellEnd"/>
      <w:r>
        <w:t xml:space="preserve"> os limites aqui definidos, tendo o </w:t>
      </w:r>
      <w:r w:rsidR="00EF58E3">
        <w:rPr>
          <w:b/>
          <w:bCs/>
          <w:color w:val="000000" w:themeColor="text1"/>
          <w:szCs w:val="20"/>
        </w:rPr>
        <w:t>MUNICÍ</w:t>
      </w:r>
      <w:r w:rsidR="00EF58E3" w:rsidRPr="006053F5">
        <w:rPr>
          <w:b/>
          <w:bCs/>
          <w:color w:val="000000" w:themeColor="text1"/>
          <w:szCs w:val="20"/>
        </w:rPr>
        <w:t>PIO</w:t>
      </w:r>
      <w:r w:rsidR="00EF58E3" w:rsidRPr="00716D43">
        <w:rPr>
          <w:b/>
          <w:color w:val="000000" w:themeColor="text1"/>
        </w:rPr>
        <w:t xml:space="preserve"> </w:t>
      </w:r>
      <w:r w:rsidR="00A54E10" w:rsidRPr="00716D43">
        <w:rPr>
          <w:b/>
          <w:color w:val="000000" w:themeColor="text1"/>
        </w:rPr>
        <w:t>DE GUARACI</w:t>
      </w:r>
      <w:r>
        <w:t xml:space="preserve"> prazo de </w:t>
      </w:r>
      <w:r w:rsidRPr="00A73568">
        <w:rPr>
          <w:b/>
          <w:bCs/>
        </w:rPr>
        <w:t>60 (sessenta) dias</w:t>
      </w:r>
      <w:r>
        <w:t xml:space="preserve"> para revisão e adequação da sua Política de Investimentos em atendimento aos novos limites.</w:t>
      </w:r>
    </w:p>
    <w:p w14:paraId="16709A8E" w14:textId="77777777" w:rsidR="009E1812" w:rsidRPr="00516AB2" w:rsidRDefault="009E1812" w:rsidP="00276EFD">
      <w:pPr>
        <w:pStyle w:val="Ttulo3"/>
      </w:pPr>
      <w:bookmarkStart w:id="55" w:name="_Toc435202745"/>
      <w:bookmarkStart w:id="56" w:name="_Toc490036551"/>
      <w:bookmarkStart w:id="57" w:name="_Toc118105146"/>
      <w:r w:rsidRPr="00516AB2">
        <w:t>VEDAÇÕES</w:t>
      </w:r>
      <w:bookmarkEnd w:id="55"/>
      <w:bookmarkEnd w:id="56"/>
      <w:bookmarkEnd w:id="57"/>
    </w:p>
    <w:p w14:paraId="78E5E604" w14:textId="0C906888" w:rsidR="009E1812" w:rsidRPr="00516AB2" w:rsidRDefault="009E1812" w:rsidP="00B62B8E">
      <w:pPr>
        <w:rPr>
          <w:bCs/>
          <w:szCs w:val="20"/>
        </w:rPr>
      </w:pPr>
      <w:r w:rsidRPr="00516AB2">
        <w:rPr>
          <w:bCs/>
          <w:szCs w:val="20"/>
        </w:rPr>
        <w:t xml:space="preserve">O </w:t>
      </w:r>
      <w:r w:rsidR="00540ECF">
        <w:rPr>
          <w:bCs/>
          <w:szCs w:val="20"/>
        </w:rPr>
        <w:t xml:space="preserve">Gestor dos Recursos e o </w:t>
      </w:r>
      <w:r w:rsidRPr="00516AB2">
        <w:rPr>
          <w:bCs/>
          <w:szCs w:val="20"/>
        </w:rPr>
        <w:t xml:space="preserve">Comitê de Investimento do </w:t>
      </w:r>
      <w:r w:rsidR="00EF58E3">
        <w:rPr>
          <w:b/>
          <w:bCs/>
          <w:color w:val="000000" w:themeColor="text1"/>
          <w:szCs w:val="20"/>
        </w:rPr>
        <w:t>MUNICÍ</w:t>
      </w:r>
      <w:r w:rsidR="00EF58E3" w:rsidRPr="006053F5">
        <w:rPr>
          <w:b/>
          <w:bCs/>
          <w:color w:val="000000" w:themeColor="text1"/>
          <w:szCs w:val="20"/>
        </w:rPr>
        <w:t>PIO</w:t>
      </w:r>
      <w:r w:rsidR="00EF58E3" w:rsidRPr="00716D43">
        <w:rPr>
          <w:b/>
          <w:color w:val="000000" w:themeColor="text1"/>
        </w:rPr>
        <w:t xml:space="preserve"> </w:t>
      </w:r>
      <w:r w:rsidR="00A54E10" w:rsidRPr="00716D43">
        <w:rPr>
          <w:b/>
          <w:color w:val="000000" w:themeColor="text1"/>
        </w:rPr>
        <w:t>DE GUARACI</w:t>
      </w:r>
      <w:r w:rsidR="00A54E10" w:rsidRPr="00516AB2">
        <w:t xml:space="preserve"> </w:t>
      </w:r>
      <w:r w:rsidRPr="00516AB2">
        <w:rPr>
          <w:bCs/>
          <w:szCs w:val="20"/>
        </w:rPr>
        <w:t>deve</w:t>
      </w:r>
      <w:r w:rsidR="00540ECF">
        <w:rPr>
          <w:bCs/>
          <w:szCs w:val="20"/>
        </w:rPr>
        <w:t>rão</w:t>
      </w:r>
      <w:r w:rsidRPr="00516AB2">
        <w:rPr>
          <w:bCs/>
          <w:szCs w:val="20"/>
        </w:rPr>
        <w:t xml:space="preserve"> seguir as vedações estabelecidas </w:t>
      </w:r>
      <w:r w:rsidR="00540ECF">
        <w:rPr>
          <w:bCs/>
          <w:szCs w:val="20"/>
        </w:rPr>
        <w:t>na</w:t>
      </w:r>
      <w:r w:rsidRPr="00516AB2">
        <w:rPr>
          <w:bCs/>
          <w:szCs w:val="20"/>
        </w:rPr>
        <w:t xml:space="preserve"> Resolução CMN n° </w:t>
      </w:r>
      <w:r w:rsidR="00540ECF">
        <w:rPr>
          <w:bCs/>
          <w:szCs w:val="20"/>
        </w:rPr>
        <w:t>4.963/2021</w:t>
      </w:r>
      <w:r w:rsidRPr="00516AB2">
        <w:rPr>
          <w:bCs/>
          <w:szCs w:val="20"/>
        </w:rPr>
        <w:t>, ficando adicionalmente vedada a aquisição de:</w:t>
      </w:r>
    </w:p>
    <w:p w14:paraId="26B61CA5" w14:textId="6DE417B3" w:rsidR="009E1812" w:rsidRPr="00EA2DE2" w:rsidRDefault="009E1812" w:rsidP="00EA2DE2">
      <w:pPr>
        <w:pStyle w:val="PargrafodaLista"/>
        <w:numPr>
          <w:ilvl w:val="0"/>
          <w:numId w:val="73"/>
        </w:numPr>
        <w:rPr>
          <w:bCs/>
          <w:szCs w:val="20"/>
        </w:rPr>
      </w:pPr>
      <w:r w:rsidRPr="00EA2DE2">
        <w:rPr>
          <w:bCs/>
          <w:szCs w:val="20"/>
        </w:rPr>
        <w:t>Operações compromissadas</w:t>
      </w:r>
      <w:r w:rsidR="003649CA" w:rsidRPr="00EA2DE2">
        <w:rPr>
          <w:bCs/>
          <w:szCs w:val="20"/>
        </w:rPr>
        <w:t xml:space="preserve"> lastreadas em títulos públicos</w:t>
      </w:r>
      <w:r w:rsidR="00C03413" w:rsidRPr="00EA2DE2">
        <w:rPr>
          <w:bCs/>
          <w:szCs w:val="20"/>
        </w:rPr>
        <w:t xml:space="preserve"> e</w:t>
      </w:r>
    </w:p>
    <w:p w14:paraId="4209E9DA" w14:textId="200BB55A" w:rsidR="009E1812" w:rsidRPr="00EA2DE2" w:rsidRDefault="009E1812" w:rsidP="00EA2DE2">
      <w:pPr>
        <w:pStyle w:val="PargrafodaLista"/>
        <w:numPr>
          <w:ilvl w:val="0"/>
          <w:numId w:val="73"/>
        </w:numPr>
        <w:rPr>
          <w:bCs/>
          <w:szCs w:val="20"/>
        </w:rPr>
      </w:pPr>
      <w:r w:rsidRPr="00EA2DE2">
        <w:rPr>
          <w:bCs/>
          <w:szCs w:val="20"/>
        </w:rPr>
        <w:t>Aquisição de qualquer ativo final com alto risco de crédito.</w:t>
      </w:r>
    </w:p>
    <w:p w14:paraId="09FE264B" w14:textId="3E485064" w:rsidR="006B0FB7" w:rsidRPr="00516AB2" w:rsidRDefault="006B0FB7" w:rsidP="00EC2F83">
      <w:pPr>
        <w:pStyle w:val="Ttulo1"/>
        <w:spacing w:before="360"/>
      </w:pPr>
      <w:bookmarkStart w:id="58" w:name="_Toc496794731"/>
      <w:bookmarkStart w:id="59" w:name="_Toc496794732"/>
      <w:bookmarkStart w:id="60" w:name="_Toc496794733"/>
      <w:bookmarkStart w:id="61" w:name="_Toc496794734"/>
      <w:bookmarkStart w:id="62" w:name="_Toc496794735"/>
      <w:bookmarkStart w:id="63" w:name="_Toc496794736"/>
      <w:bookmarkStart w:id="64" w:name="_Toc496794737"/>
      <w:bookmarkStart w:id="65" w:name="_Toc496794738"/>
      <w:bookmarkStart w:id="66" w:name="_Toc496794739"/>
      <w:bookmarkStart w:id="67" w:name="_Toc496794740"/>
      <w:bookmarkStart w:id="68" w:name="_Toc496794741"/>
      <w:bookmarkStart w:id="69" w:name="_Toc496794742"/>
      <w:bookmarkStart w:id="70" w:name="_Toc496794743"/>
      <w:bookmarkStart w:id="71" w:name="_Toc496794744"/>
      <w:bookmarkStart w:id="72" w:name="_Toc496794745"/>
      <w:bookmarkStart w:id="73" w:name="_Toc496794746"/>
      <w:bookmarkStart w:id="74" w:name="_Toc496794747"/>
      <w:bookmarkStart w:id="75" w:name="_Toc496794748"/>
      <w:bookmarkStart w:id="76" w:name="_Toc496794749"/>
      <w:bookmarkStart w:id="77" w:name="_Toc496794750"/>
      <w:bookmarkStart w:id="78" w:name="_Toc496794751"/>
      <w:bookmarkStart w:id="79" w:name="_Toc496794752"/>
      <w:bookmarkStart w:id="80" w:name="_Toc496794753"/>
      <w:bookmarkStart w:id="81" w:name="_Toc496794754"/>
      <w:bookmarkStart w:id="82" w:name="_Toc496794755"/>
      <w:bookmarkStart w:id="83" w:name="_Toc496794756"/>
      <w:bookmarkStart w:id="84" w:name="_Toc496794757"/>
      <w:bookmarkStart w:id="85" w:name="_Toc496794758"/>
      <w:bookmarkStart w:id="86" w:name="_Toc496794759"/>
      <w:bookmarkStart w:id="87" w:name="_Toc496794760"/>
      <w:bookmarkStart w:id="88" w:name="_Toc496794761"/>
      <w:bookmarkStart w:id="89" w:name="_Toc496794762"/>
      <w:bookmarkStart w:id="90" w:name="_Toc496794763"/>
      <w:bookmarkStart w:id="91" w:name="_Toc118105147"/>
      <w:bookmarkEnd w:id="33"/>
      <w:bookmarkEnd w:id="34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r w:rsidRPr="00516AB2">
        <w:t>CONTROLE DE RISCO</w:t>
      </w:r>
      <w:bookmarkEnd w:id="35"/>
      <w:bookmarkEnd w:id="36"/>
      <w:bookmarkEnd w:id="91"/>
    </w:p>
    <w:p w14:paraId="3C9DFB46" w14:textId="083D1B4E" w:rsidR="007A06D1" w:rsidRDefault="007A06D1" w:rsidP="00EC2F83">
      <w:pPr>
        <w:rPr>
          <w:bCs/>
          <w:szCs w:val="20"/>
        </w:rPr>
      </w:pPr>
      <w:r w:rsidRPr="006A5934">
        <w:t xml:space="preserve">Diante da metodologia e os critérios a serem adotados ao analisar </w:t>
      </w:r>
      <w:r w:rsidR="00325CF2" w:rsidRPr="006A5934">
        <w:t>os</w:t>
      </w:r>
      <w:r w:rsidRPr="006A5934">
        <w:t xml:space="preserve"> riscos d</w:t>
      </w:r>
      <w:r w:rsidR="00325CF2" w:rsidRPr="006A5934">
        <w:t>os</w:t>
      </w:r>
      <w:r w:rsidRPr="006A5934">
        <w:t xml:space="preserve"> investimentos, assim como as diretrizes para seu controle e monitoramento, é necessário observar a avaliação dos riscos de crédito, mercado, liquidez, operacional, legal, sistêmico e outros específicos a cada operação e tolerância do RPPS a esses riscos mencionados, conforme exposto no Art. 101, da Portaria 1</w:t>
      </w:r>
      <w:r w:rsidR="00DB25F2" w:rsidRPr="006A5934">
        <w:t>.</w:t>
      </w:r>
      <w:r w:rsidRPr="006A5934">
        <w:t>467/22.</w:t>
      </w:r>
    </w:p>
    <w:p w14:paraId="760FC982" w14:textId="39545333" w:rsidR="006B0FB7" w:rsidRPr="00EA2DE2" w:rsidRDefault="002C6BCD" w:rsidP="00EC2F83">
      <w:r>
        <w:rPr>
          <w:bCs/>
          <w:szCs w:val="20"/>
        </w:rPr>
        <w:t xml:space="preserve">As </w:t>
      </w:r>
      <w:r w:rsidR="006B0FB7" w:rsidRPr="00516AB2">
        <w:rPr>
          <w:bCs/>
          <w:szCs w:val="20"/>
        </w:rPr>
        <w:t>aplicaç</w:t>
      </w:r>
      <w:r>
        <w:rPr>
          <w:bCs/>
          <w:szCs w:val="20"/>
        </w:rPr>
        <w:t>ões</w:t>
      </w:r>
      <w:r w:rsidR="006B0FB7" w:rsidRPr="00516AB2">
        <w:rPr>
          <w:bCs/>
          <w:szCs w:val="20"/>
        </w:rPr>
        <w:t xml:space="preserve"> financeira</w:t>
      </w:r>
      <w:r>
        <w:rPr>
          <w:bCs/>
          <w:szCs w:val="20"/>
        </w:rPr>
        <w:t>s</w:t>
      </w:r>
      <w:r w:rsidR="006B0FB7" w:rsidRPr="00516AB2">
        <w:rPr>
          <w:bCs/>
          <w:szCs w:val="20"/>
        </w:rPr>
        <w:t xml:space="preserve"> est</w:t>
      </w:r>
      <w:r w:rsidR="00E77E7B">
        <w:rPr>
          <w:bCs/>
          <w:szCs w:val="20"/>
        </w:rPr>
        <w:t>ão</w:t>
      </w:r>
      <w:r w:rsidR="006B0FB7" w:rsidRPr="00516AB2">
        <w:rPr>
          <w:bCs/>
          <w:szCs w:val="20"/>
        </w:rPr>
        <w:t xml:space="preserve"> </w:t>
      </w:r>
      <w:r w:rsidR="00D24E66" w:rsidRPr="00516AB2">
        <w:rPr>
          <w:bCs/>
          <w:szCs w:val="20"/>
        </w:rPr>
        <w:t>sujeitas</w:t>
      </w:r>
      <w:r w:rsidR="006B0FB7" w:rsidRPr="00516AB2">
        <w:rPr>
          <w:bCs/>
          <w:szCs w:val="20"/>
        </w:rPr>
        <w:t xml:space="preserve"> à incidência de fatores de risco que podem afetar adversamente o seu retorno,</w:t>
      </w:r>
      <w:r w:rsidR="00C975D9">
        <w:rPr>
          <w:bCs/>
          <w:szCs w:val="20"/>
        </w:rPr>
        <w:t xml:space="preserve"> e consequentemente, fica o </w:t>
      </w:r>
      <w:r w:rsidR="00EF58E3">
        <w:rPr>
          <w:b/>
          <w:bCs/>
          <w:color w:val="000000" w:themeColor="text1"/>
          <w:szCs w:val="20"/>
        </w:rPr>
        <w:t>MUNICÍ</w:t>
      </w:r>
      <w:r w:rsidR="00EF58E3" w:rsidRPr="006053F5">
        <w:rPr>
          <w:b/>
          <w:bCs/>
          <w:color w:val="000000" w:themeColor="text1"/>
          <w:szCs w:val="20"/>
        </w:rPr>
        <w:t>PIO</w:t>
      </w:r>
      <w:r w:rsidR="00EF58E3" w:rsidRPr="00716D43">
        <w:rPr>
          <w:b/>
          <w:color w:val="000000" w:themeColor="text1"/>
        </w:rPr>
        <w:t xml:space="preserve"> </w:t>
      </w:r>
      <w:r w:rsidR="00A54E10" w:rsidRPr="00716D43">
        <w:rPr>
          <w:b/>
          <w:color w:val="000000" w:themeColor="text1"/>
        </w:rPr>
        <w:t>DE GUARACI</w:t>
      </w:r>
      <w:r w:rsidR="00A54E10" w:rsidRPr="00516AB2">
        <w:t xml:space="preserve"> </w:t>
      </w:r>
      <w:r w:rsidR="00C975D9" w:rsidRPr="009C66AE">
        <w:t>obrigad</w:t>
      </w:r>
      <w:r w:rsidR="002917B3">
        <w:t>o</w:t>
      </w:r>
      <w:r w:rsidR="00C975D9" w:rsidRPr="009C66AE">
        <w:t xml:space="preserve"> a exercer o acompanhamento e o controle sobre esses </w:t>
      </w:r>
      <w:r w:rsidR="00C975D9" w:rsidRPr="00EA2DE2">
        <w:t>riscos,</w:t>
      </w:r>
      <w:r w:rsidR="00E8354C" w:rsidRPr="00EA2DE2">
        <w:t xml:space="preserve"> </w:t>
      </w:r>
      <w:r w:rsidR="00C975D9" w:rsidRPr="00EA2DE2">
        <w:t>considerando</w:t>
      </w:r>
      <w:r w:rsidR="006B0FB7" w:rsidRPr="00EA2DE2">
        <w:t xml:space="preserve"> entre eles:</w:t>
      </w:r>
    </w:p>
    <w:p w14:paraId="56B27E41" w14:textId="77777777" w:rsidR="006B0FB7" w:rsidRPr="00EA2DE2" w:rsidRDefault="006B0FB7" w:rsidP="00EC2F83">
      <w:pPr>
        <w:ind w:left="1134"/>
        <w:rPr>
          <w:bCs/>
          <w:szCs w:val="20"/>
        </w:rPr>
      </w:pPr>
      <w:r w:rsidRPr="00EA2DE2">
        <w:rPr>
          <w:b/>
          <w:bCs/>
          <w:szCs w:val="20"/>
        </w:rPr>
        <w:t>Risco de Mercado</w:t>
      </w:r>
      <w:r w:rsidRPr="00EA2DE2">
        <w:rPr>
          <w:bCs/>
          <w:szCs w:val="20"/>
        </w:rPr>
        <w:t xml:space="preserve"> – é o risco inerente a todas as modalidades de aplicações financeiras disponíveis no mercado financeiro; corresponde à incerteza em relação ao resultado de um investimento financeiro ou de uma carteira de investimento, em </w:t>
      </w:r>
      <w:r w:rsidRPr="00EA2DE2">
        <w:rPr>
          <w:bCs/>
          <w:szCs w:val="20"/>
        </w:rPr>
        <w:lastRenderedPageBreak/>
        <w:t>decorrência de mudanças futuras nas condições de mercado. É o risco de variações, oscilações nas taxas e preços de mercado, tais como taxa de juros, preços de ações e outros índices. É ligado às oscilações do mercado financeiro.</w:t>
      </w:r>
    </w:p>
    <w:p w14:paraId="6774AE0B" w14:textId="77777777" w:rsidR="009C66AE" w:rsidRPr="00EA2DE2" w:rsidRDefault="006B0FB7" w:rsidP="00EC2F83">
      <w:pPr>
        <w:ind w:left="1134"/>
        <w:rPr>
          <w:bCs/>
          <w:szCs w:val="20"/>
        </w:rPr>
      </w:pPr>
      <w:r w:rsidRPr="00EA2DE2">
        <w:rPr>
          <w:b/>
          <w:bCs/>
          <w:szCs w:val="20"/>
        </w:rPr>
        <w:t>Risco de Crédito</w:t>
      </w:r>
      <w:r w:rsidRPr="00EA2DE2">
        <w:rPr>
          <w:bCs/>
          <w:szCs w:val="20"/>
        </w:rPr>
        <w:t xml:space="preserve"> - também conhecido como risco institucional ou de contraparte, é aquele em que há a possibilidade de o retorno de investimento não ser honrado pela instituição que emitiu determinado título, na data e nas condições negociadas e contratadas;</w:t>
      </w:r>
    </w:p>
    <w:p w14:paraId="3BF88629" w14:textId="5EE9998B" w:rsidR="009C66AE" w:rsidRPr="00D24E66" w:rsidRDefault="006B0FB7" w:rsidP="00EC2F83">
      <w:pPr>
        <w:ind w:left="1134"/>
        <w:rPr>
          <w:bCs/>
          <w:szCs w:val="20"/>
        </w:rPr>
      </w:pPr>
      <w:r w:rsidRPr="00EA2DE2">
        <w:rPr>
          <w:b/>
          <w:bCs/>
          <w:szCs w:val="20"/>
        </w:rPr>
        <w:t>Risco de Liquidez</w:t>
      </w:r>
      <w:r w:rsidRPr="00EA2DE2">
        <w:rPr>
          <w:bCs/>
          <w:szCs w:val="20"/>
        </w:rPr>
        <w:t xml:space="preserve"> - surge da dificuldade em se conseguir encontrar compradores potenciais de um determinado ativo no momento e no preço desejado. Ocorre quando um ativo está com baixo volume de negócios e apresenta grandes diferenças entre o preço que o comprador está disposto a pagar (oferta de compra) e aquele que o vendedor gostaria de vender (oferta de venda). Quando é necessário vender algum ativo num mercado ilíquido, tende a ser difícil conseguir realizar a venda sem sacrificar o preço do ativo negociado</w:t>
      </w:r>
      <w:bookmarkStart w:id="92" w:name="_Toc435189693"/>
      <w:bookmarkStart w:id="93" w:name="_Toc435202751"/>
      <w:bookmarkStart w:id="94" w:name="_Toc490036557"/>
      <w:r w:rsidR="009C66AE" w:rsidRPr="00EA2DE2">
        <w:t>.</w:t>
      </w:r>
    </w:p>
    <w:p w14:paraId="7B916BA5" w14:textId="3437085D" w:rsidR="006B0FB7" w:rsidRPr="009C66AE" w:rsidRDefault="006B0FB7" w:rsidP="00276EFD">
      <w:pPr>
        <w:pStyle w:val="Ttulo3"/>
        <w:rPr>
          <w:bCs/>
        </w:rPr>
      </w:pPr>
      <w:bookmarkStart w:id="95" w:name="_Toc118105148"/>
      <w:r w:rsidRPr="00516AB2">
        <w:t>C</w:t>
      </w:r>
      <w:bookmarkEnd w:id="92"/>
      <w:r w:rsidRPr="00516AB2">
        <w:t>ONTROLE DO RISCO DE MERCADO</w:t>
      </w:r>
      <w:bookmarkEnd w:id="93"/>
      <w:bookmarkEnd w:id="94"/>
      <w:bookmarkEnd w:id="95"/>
    </w:p>
    <w:p w14:paraId="14DBA536" w14:textId="31124C3D" w:rsidR="006B0FB7" w:rsidRPr="00516AB2" w:rsidRDefault="006B0FB7" w:rsidP="00EC2F83">
      <w:pPr>
        <w:rPr>
          <w:bCs/>
          <w:szCs w:val="20"/>
        </w:rPr>
      </w:pPr>
      <w:r w:rsidRPr="00516AB2">
        <w:rPr>
          <w:bCs/>
          <w:szCs w:val="20"/>
        </w:rPr>
        <w:t xml:space="preserve">O </w:t>
      </w:r>
      <w:r w:rsidR="00A54E10" w:rsidRPr="00716D43">
        <w:rPr>
          <w:b/>
          <w:color w:val="000000" w:themeColor="text1"/>
        </w:rPr>
        <w:t>MUNICIPIO DE GUARACI</w:t>
      </w:r>
      <w:r w:rsidR="00A54E10" w:rsidRPr="00516AB2">
        <w:t xml:space="preserve"> </w:t>
      </w:r>
      <w:r w:rsidRPr="00516AB2">
        <w:rPr>
          <w:bCs/>
          <w:szCs w:val="20"/>
        </w:rPr>
        <w:t xml:space="preserve">adota o </w:t>
      </w:r>
      <w:proofErr w:type="spellStart"/>
      <w:r w:rsidRPr="00516AB2">
        <w:rPr>
          <w:b/>
          <w:bCs/>
          <w:szCs w:val="20"/>
        </w:rPr>
        <w:t>VaR</w:t>
      </w:r>
      <w:proofErr w:type="spellEnd"/>
      <w:r w:rsidRPr="00516AB2">
        <w:rPr>
          <w:b/>
          <w:bCs/>
          <w:szCs w:val="20"/>
        </w:rPr>
        <w:t xml:space="preserve"> - </w:t>
      </w:r>
      <w:proofErr w:type="spellStart"/>
      <w:r w:rsidRPr="00D24E66">
        <w:rPr>
          <w:b/>
          <w:bCs/>
          <w:i/>
          <w:iCs/>
          <w:szCs w:val="20"/>
        </w:rPr>
        <w:t>Value-at-Risk</w:t>
      </w:r>
      <w:proofErr w:type="spellEnd"/>
      <w:r w:rsidRPr="00516AB2">
        <w:rPr>
          <w:bCs/>
          <w:szCs w:val="20"/>
        </w:rPr>
        <w:t xml:space="preserve"> para controle do risco de mercado, utilizando os seguintes parâmetros para o cálculo: </w:t>
      </w:r>
    </w:p>
    <w:p w14:paraId="00B10244" w14:textId="77777777" w:rsidR="00EC2F83" w:rsidRDefault="006B0FB7" w:rsidP="00EC2F83">
      <w:pPr>
        <w:pStyle w:val="PargrafodaLista"/>
        <w:numPr>
          <w:ilvl w:val="0"/>
          <w:numId w:val="36"/>
        </w:numPr>
        <w:rPr>
          <w:bCs/>
          <w:szCs w:val="20"/>
        </w:rPr>
      </w:pPr>
      <w:r w:rsidRPr="00EC2F83">
        <w:rPr>
          <w:bCs/>
          <w:szCs w:val="20"/>
        </w:rPr>
        <w:t>Modelo paramétrico;</w:t>
      </w:r>
    </w:p>
    <w:p w14:paraId="2FA23F66" w14:textId="77777777" w:rsidR="00EC2F83" w:rsidRDefault="006B0FB7" w:rsidP="00EC2F83">
      <w:pPr>
        <w:pStyle w:val="PargrafodaLista"/>
        <w:numPr>
          <w:ilvl w:val="0"/>
          <w:numId w:val="36"/>
        </w:numPr>
        <w:rPr>
          <w:bCs/>
          <w:szCs w:val="20"/>
        </w:rPr>
      </w:pPr>
      <w:r w:rsidRPr="00EC2F83">
        <w:rPr>
          <w:bCs/>
          <w:szCs w:val="20"/>
        </w:rPr>
        <w:t>Intervalo de confiança de 95% (noventa e cinco por cento);</w:t>
      </w:r>
    </w:p>
    <w:p w14:paraId="569991F8" w14:textId="0A1DADD3" w:rsidR="006B0FB7" w:rsidRPr="00EC2F83" w:rsidRDefault="006B0FB7" w:rsidP="00EC2F83">
      <w:pPr>
        <w:pStyle w:val="PargrafodaLista"/>
        <w:numPr>
          <w:ilvl w:val="0"/>
          <w:numId w:val="36"/>
        </w:numPr>
        <w:rPr>
          <w:bCs/>
          <w:szCs w:val="20"/>
        </w:rPr>
      </w:pPr>
      <w:r w:rsidRPr="00EC2F83">
        <w:rPr>
          <w:bCs/>
          <w:szCs w:val="20"/>
        </w:rPr>
        <w:t>Horizonte temporal de 21 dias úteis.</w:t>
      </w:r>
    </w:p>
    <w:p w14:paraId="5C81AB50" w14:textId="1221CBA7" w:rsidR="006B0FB7" w:rsidRPr="00516AB2" w:rsidRDefault="006B0FB7" w:rsidP="00EC2F83">
      <w:pPr>
        <w:rPr>
          <w:bCs/>
          <w:szCs w:val="20"/>
        </w:rPr>
      </w:pPr>
      <w:r w:rsidRPr="00516AB2">
        <w:rPr>
          <w:bCs/>
          <w:szCs w:val="20"/>
        </w:rPr>
        <w:t xml:space="preserve">Como parâmetro de monitoramento para controle do risco de mercado dos ativos que compõe a carteira, os membros do Comitê de Investimentos </w:t>
      </w:r>
      <w:r w:rsidR="00215BF7">
        <w:rPr>
          <w:bCs/>
          <w:szCs w:val="20"/>
        </w:rPr>
        <w:t xml:space="preserve">e o Gestor dos Recursos </w:t>
      </w:r>
      <w:r w:rsidRPr="00516AB2">
        <w:rPr>
          <w:bCs/>
          <w:szCs w:val="20"/>
        </w:rPr>
        <w:t>deverão observar as referências abaixo estabelecidas e realizar reavaliação destes ativos sempre que as referências pré-estabelecidas forem ultrapassadas.</w:t>
      </w:r>
    </w:p>
    <w:p w14:paraId="048BC818" w14:textId="3EFA3F02" w:rsidR="00EC2F83" w:rsidRDefault="000E1CEA" w:rsidP="00EC2F83">
      <w:pPr>
        <w:pStyle w:val="PargrafodaLista"/>
        <w:numPr>
          <w:ilvl w:val="0"/>
          <w:numId w:val="37"/>
        </w:numPr>
        <w:rPr>
          <w:bCs/>
          <w:szCs w:val="20"/>
        </w:rPr>
      </w:pPr>
      <w:r w:rsidRPr="00EC2F83">
        <w:rPr>
          <w:bCs/>
          <w:szCs w:val="20"/>
        </w:rPr>
        <w:t>Segmento de Renda Fixa:</w:t>
      </w:r>
      <w:r w:rsidR="00A57819" w:rsidRPr="00EC2F83">
        <w:rPr>
          <w:bCs/>
          <w:szCs w:val="20"/>
        </w:rPr>
        <w:t xml:space="preserve"> </w:t>
      </w:r>
      <w:r w:rsidR="00766290">
        <w:rPr>
          <w:b/>
          <w:szCs w:val="20"/>
        </w:rPr>
        <w:t>1,99%</w:t>
      </w:r>
      <w:r w:rsidR="00265547" w:rsidRPr="00EC2F83">
        <w:rPr>
          <w:bCs/>
          <w:szCs w:val="20"/>
        </w:rPr>
        <w:t xml:space="preserve"> </w:t>
      </w:r>
      <w:r w:rsidR="006B0FB7" w:rsidRPr="00EC2F83">
        <w:rPr>
          <w:bCs/>
          <w:szCs w:val="20"/>
        </w:rPr>
        <w:t>do valor alocado neste segmento</w:t>
      </w:r>
      <w:r w:rsidR="00EC2F83">
        <w:rPr>
          <w:bCs/>
          <w:szCs w:val="20"/>
        </w:rPr>
        <w:t>;</w:t>
      </w:r>
    </w:p>
    <w:p w14:paraId="7F28D5ED" w14:textId="57FC949B" w:rsidR="00D62A5D" w:rsidRDefault="006B0FB7" w:rsidP="00EC2F83">
      <w:pPr>
        <w:pStyle w:val="PargrafodaLista"/>
        <w:numPr>
          <w:ilvl w:val="0"/>
          <w:numId w:val="37"/>
        </w:numPr>
        <w:rPr>
          <w:bCs/>
          <w:szCs w:val="20"/>
        </w:rPr>
      </w:pPr>
      <w:r w:rsidRPr="00EC2F83">
        <w:rPr>
          <w:bCs/>
          <w:szCs w:val="20"/>
        </w:rPr>
        <w:t>Segment</w:t>
      </w:r>
      <w:r w:rsidR="000E1CEA" w:rsidRPr="00EC2F83">
        <w:rPr>
          <w:bCs/>
          <w:szCs w:val="20"/>
        </w:rPr>
        <w:t>o de Renda Variável</w:t>
      </w:r>
      <w:r w:rsidR="006E1F51">
        <w:rPr>
          <w:bCs/>
          <w:szCs w:val="20"/>
        </w:rPr>
        <w:t xml:space="preserve"> e Estruturados</w:t>
      </w:r>
      <w:r w:rsidR="000E1CEA" w:rsidRPr="00EC2F83">
        <w:rPr>
          <w:bCs/>
          <w:szCs w:val="20"/>
        </w:rPr>
        <w:t>:</w:t>
      </w:r>
      <w:r w:rsidR="00265547" w:rsidRPr="00EC2F83">
        <w:rPr>
          <w:bCs/>
          <w:szCs w:val="20"/>
        </w:rPr>
        <w:t xml:space="preserve"> </w:t>
      </w:r>
      <w:r w:rsidR="00766290">
        <w:rPr>
          <w:b/>
          <w:szCs w:val="20"/>
        </w:rPr>
        <w:t>14,04%</w:t>
      </w:r>
      <w:r w:rsidR="00A57819" w:rsidRPr="00EC2F83">
        <w:rPr>
          <w:b/>
          <w:bCs/>
          <w:szCs w:val="20"/>
        </w:rPr>
        <w:t xml:space="preserve"> </w:t>
      </w:r>
      <w:r w:rsidR="009E1812" w:rsidRPr="00EC2F83">
        <w:rPr>
          <w:bCs/>
          <w:szCs w:val="20"/>
        </w:rPr>
        <w:t>do valor alocado neste segmento</w:t>
      </w:r>
      <w:r w:rsidR="00D62A5D">
        <w:rPr>
          <w:bCs/>
          <w:szCs w:val="20"/>
        </w:rPr>
        <w:t xml:space="preserve"> e</w:t>
      </w:r>
    </w:p>
    <w:p w14:paraId="5F1DFA7E" w14:textId="624E1B20" w:rsidR="009E1812" w:rsidRPr="00EC2F83" w:rsidRDefault="009E1812" w:rsidP="00EC2F83">
      <w:pPr>
        <w:pStyle w:val="PargrafodaLista"/>
        <w:numPr>
          <w:ilvl w:val="0"/>
          <w:numId w:val="37"/>
        </w:numPr>
        <w:rPr>
          <w:bCs/>
          <w:szCs w:val="20"/>
        </w:rPr>
      </w:pPr>
      <w:r w:rsidRPr="00EC2F83">
        <w:rPr>
          <w:bCs/>
          <w:szCs w:val="20"/>
        </w:rPr>
        <w:t xml:space="preserve">Segmento de Investimento no Exterior </w:t>
      </w:r>
      <w:r w:rsidR="00766290">
        <w:rPr>
          <w:b/>
          <w:szCs w:val="20"/>
        </w:rPr>
        <w:t>21,71%</w:t>
      </w:r>
      <w:r w:rsidRPr="00EC2F83">
        <w:rPr>
          <w:bCs/>
          <w:szCs w:val="20"/>
        </w:rPr>
        <w:t xml:space="preserve"> do valor alocado nesse segmento </w:t>
      </w:r>
    </w:p>
    <w:p w14:paraId="0891E937" w14:textId="1A8ECB6F" w:rsidR="006B0FB7" w:rsidRDefault="006B0FB7" w:rsidP="00EC2F83">
      <w:pPr>
        <w:rPr>
          <w:bCs/>
          <w:szCs w:val="20"/>
        </w:rPr>
      </w:pPr>
      <w:r w:rsidRPr="00516AB2">
        <w:rPr>
          <w:bCs/>
          <w:szCs w:val="20"/>
        </w:rPr>
        <w:t xml:space="preserve">Como instrumento adicional de controle, o </w:t>
      </w:r>
      <w:r w:rsidR="00EF58E3">
        <w:rPr>
          <w:b/>
          <w:bCs/>
          <w:color w:val="000000" w:themeColor="text1"/>
          <w:szCs w:val="20"/>
        </w:rPr>
        <w:t>MUNICÍ</w:t>
      </w:r>
      <w:r w:rsidR="00EF58E3" w:rsidRPr="006053F5">
        <w:rPr>
          <w:b/>
          <w:bCs/>
          <w:color w:val="000000" w:themeColor="text1"/>
          <w:szCs w:val="20"/>
        </w:rPr>
        <w:t>PIO</w:t>
      </w:r>
      <w:r w:rsidR="00EF58E3" w:rsidRPr="00716D43">
        <w:rPr>
          <w:b/>
          <w:color w:val="000000" w:themeColor="text1"/>
        </w:rPr>
        <w:t xml:space="preserve"> </w:t>
      </w:r>
      <w:r w:rsidR="00A54E10" w:rsidRPr="00716D43">
        <w:rPr>
          <w:b/>
          <w:color w:val="000000" w:themeColor="text1"/>
        </w:rPr>
        <w:t>DE GUARACI</w:t>
      </w:r>
      <w:r w:rsidR="00A54E10" w:rsidRPr="00516AB2">
        <w:t xml:space="preserve"> </w:t>
      </w:r>
      <w:r w:rsidR="00F137BE">
        <w:rPr>
          <w:bCs/>
          <w:szCs w:val="20"/>
        </w:rPr>
        <w:t xml:space="preserve">deverá </w:t>
      </w:r>
      <w:r w:rsidRPr="00516AB2">
        <w:rPr>
          <w:bCs/>
          <w:szCs w:val="20"/>
        </w:rPr>
        <w:t>monitora</w:t>
      </w:r>
      <w:r w:rsidR="00F137BE">
        <w:rPr>
          <w:bCs/>
          <w:szCs w:val="20"/>
        </w:rPr>
        <w:t>r</w:t>
      </w:r>
      <w:r w:rsidRPr="00516AB2">
        <w:rPr>
          <w:bCs/>
          <w:szCs w:val="20"/>
        </w:rPr>
        <w:t xml:space="preserve"> a rentabilidade do fundo</w:t>
      </w:r>
      <w:r w:rsidR="00F137BE">
        <w:rPr>
          <w:bCs/>
          <w:szCs w:val="20"/>
        </w:rPr>
        <w:t xml:space="preserve"> de investimento</w:t>
      </w:r>
      <w:r w:rsidRPr="00516AB2">
        <w:rPr>
          <w:bCs/>
          <w:szCs w:val="20"/>
        </w:rPr>
        <w:t xml:space="preserve"> em janelas temporais (mês, ano, três meses, seis meses, doze meses e vinte e quatro meses), verificando o alinhamento </w:t>
      </w:r>
      <w:r w:rsidR="004A0ABB">
        <w:rPr>
          <w:bCs/>
          <w:szCs w:val="20"/>
        </w:rPr>
        <w:t>com</w:t>
      </w:r>
      <w:r w:rsidRPr="00516AB2">
        <w:rPr>
          <w:bCs/>
          <w:szCs w:val="20"/>
        </w:rPr>
        <w:t xml:space="preserve"> o</w:t>
      </w:r>
      <w:r w:rsidR="00F137BE">
        <w:rPr>
          <w:bCs/>
          <w:szCs w:val="20"/>
        </w:rPr>
        <w:t xml:space="preserve"> </w:t>
      </w:r>
      <w:r w:rsidRPr="00F137BE">
        <w:rPr>
          <w:bCs/>
          <w:i/>
          <w:iCs/>
          <w:szCs w:val="20"/>
        </w:rPr>
        <w:t>benchmark</w:t>
      </w:r>
      <w:r w:rsidRPr="00516AB2">
        <w:rPr>
          <w:bCs/>
          <w:szCs w:val="20"/>
        </w:rPr>
        <w:t xml:space="preserve"> </w:t>
      </w:r>
      <w:r w:rsidR="005444FB">
        <w:rPr>
          <w:bCs/>
          <w:szCs w:val="20"/>
        </w:rPr>
        <w:t xml:space="preserve">de cada ativo. </w:t>
      </w:r>
      <w:r w:rsidRPr="00516AB2">
        <w:rPr>
          <w:bCs/>
          <w:szCs w:val="20"/>
        </w:rPr>
        <w:t>Desvios significativos deverão ser avaliados pelos membros do Comitê de Investimentos, que decidirá pela manutenção, ou não, do</w:t>
      </w:r>
      <w:r w:rsidR="00F137BE">
        <w:rPr>
          <w:bCs/>
          <w:szCs w:val="20"/>
        </w:rPr>
        <w:t>s</w:t>
      </w:r>
      <w:r w:rsidRPr="00516AB2">
        <w:rPr>
          <w:bCs/>
          <w:szCs w:val="20"/>
        </w:rPr>
        <w:t xml:space="preserve"> investimento</w:t>
      </w:r>
      <w:r w:rsidR="00F137BE">
        <w:rPr>
          <w:bCs/>
          <w:szCs w:val="20"/>
        </w:rPr>
        <w:t>s</w:t>
      </w:r>
      <w:r w:rsidRPr="00516AB2">
        <w:rPr>
          <w:bCs/>
          <w:szCs w:val="20"/>
        </w:rPr>
        <w:t>.</w:t>
      </w:r>
    </w:p>
    <w:p w14:paraId="60AC91E2" w14:textId="77777777" w:rsidR="006B0FB7" w:rsidRPr="00516AB2" w:rsidRDefault="006B0FB7" w:rsidP="00276EFD">
      <w:pPr>
        <w:pStyle w:val="Ttulo3"/>
      </w:pPr>
      <w:bookmarkStart w:id="96" w:name="_Toc435202752"/>
      <w:bookmarkStart w:id="97" w:name="_Toc490036558"/>
      <w:bookmarkStart w:id="98" w:name="_Toc118105149"/>
      <w:r w:rsidRPr="00516AB2">
        <w:t>CONTROLE DO RISCO DE CRÉDITO</w:t>
      </w:r>
      <w:bookmarkEnd w:id="96"/>
      <w:bookmarkEnd w:id="97"/>
      <w:bookmarkEnd w:id="98"/>
    </w:p>
    <w:p w14:paraId="57658010" w14:textId="60A02A38" w:rsidR="009E30C1" w:rsidRDefault="006B0FB7" w:rsidP="00EC2F83">
      <w:pPr>
        <w:rPr>
          <w:bCs/>
          <w:szCs w:val="20"/>
        </w:rPr>
      </w:pPr>
      <w:r w:rsidRPr="00516AB2">
        <w:rPr>
          <w:bCs/>
          <w:szCs w:val="20"/>
        </w:rPr>
        <w:t>Na hipótese de aplicação de re</w:t>
      </w:r>
      <w:r w:rsidR="009E30C1" w:rsidRPr="00516AB2">
        <w:rPr>
          <w:bCs/>
          <w:szCs w:val="20"/>
        </w:rPr>
        <w:t>cursos financeiros em fundos de investimento</w:t>
      </w:r>
      <w:r w:rsidRPr="00516AB2">
        <w:rPr>
          <w:bCs/>
          <w:szCs w:val="20"/>
        </w:rPr>
        <w:t xml:space="preserve"> </w:t>
      </w:r>
      <w:r w:rsidR="009E30C1" w:rsidRPr="00516AB2">
        <w:rPr>
          <w:bCs/>
          <w:szCs w:val="20"/>
        </w:rPr>
        <w:t xml:space="preserve">que possuem em sua carteira de investimentos ativos de crédito, subordinam-se que estes </w:t>
      </w:r>
      <w:r w:rsidR="003F6107" w:rsidRPr="00516AB2">
        <w:rPr>
          <w:bCs/>
          <w:szCs w:val="20"/>
        </w:rPr>
        <w:t xml:space="preserve">sejam emitidas por companhias abertas devidamente operacionais e registrada; e que </w:t>
      </w:r>
      <w:r w:rsidR="009E30C1" w:rsidRPr="00516AB2">
        <w:rPr>
          <w:bCs/>
          <w:szCs w:val="20"/>
        </w:rPr>
        <w:t xml:space="preserve">sejam de baixo risco em classificação efetuada por </w:t>
      </w:r>
      <w:r w:rsidR="003F6107" w:rsidRPr="00516AB2">
        <w:rPr>
          <w:bCs/>
          <w:szCs w:val="20"/>
        </w:rPr>
        <w:t>agência classificadora de risco, o que estiverem de acordo com a tabela abaixo:</w:t>
      </w:r>
    </w:p>
    <w:tbl>
      <w:tblPr>
        <w:tblStyle w:val="TabeladeGrade21"/>
        <w:tblW w:w="0" w:type="auto"/>
        <w:jc w:val="center"/>
        <w:tblLook w:val="04A0" w:firstRow="1" w:lastRow="0" w:firstColumn="1" w:lastColumn="0" w:noHBand="0" w:noVBand="1"/>
      </w:tblPr>
      <w:tblGrid>
        <w:gridCol w:w="3006"/>
        <w:gridCol w:w="2599"/>
      </w:tblGrid>
      <w:tr w:rsidR="001B0DDD" w:rsidRPr="006F67AD" w14:paraId="4F2F107D" w14:textId="77777777" w:rsidTr="00F668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54BCCF" w14:textId="74F3AE26" w:rsidR="001B0DDD" w:rsidRPr="006F67AD" w:rsidRDefault="006F67AD" w:rsidP="006F67AD">
            <w:pPr>
              <w:jc w:val="center"/>
              <w:rPr>
                <w:bCs w:val="0"/>
                <w:sz w:val="16"/>
                <w:szCs w:val="14"/>
              </w:rPr>
            </w:pPr>
            <w:r w:rsidRPr="006F67AD">
              <w:rPr>
                <w:bCs w:val="0"/>
                <w:sz w:val="16"/>
                <w:szCs w:val="14"/>
              </w:rPr>
              <w:t>AGÊNCIA CLASSIFICADOREA DE RISCO</w:t>
            </w:r>
          </w:p>
        </w:tc>
        <w:tc>
          <w:tcPr>
            <w:tcW w:w="2599" w:type="dxa"/>
          </w:tcPr>
          <w:p w14:paraId="4FDC3D78" w14:textId="63CA5779" w:rsidR="001B0DDD" w:rsidRPr="006F67AD" w:rsidRDefault="006F67AD" w:rsidP="006F67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4"/>
              </w:rPr>
            </w:pPr>
            <w:r w:rsidRPr="006F67AD">
              <w:rPr>
                <w:bCs w:val="0"/>
                <w:sz w:val="16"/>
                <w:szCs w:val="14"/>
              </w:rPr>
              <w:t>RATING MÍNIMO</w:t>
            </w:r>
          </w:p>
        </w:tc>
      </w:tr>
      <w:tr w:rsidR="00147292" w:rsidRPr="00147292" w14:paraId="1D336CA3" w14:textId="77777777" w:rsidTr="00F66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987AD4" w14:textId="44D070DC" w:rsidR="001B0DDD" w:rsidRPr="00147292" w:rsidRDefault="00644A63" w:rsidP="00147292">
            <w:pPr>
              <w:jc w:val="center"/>
              <w:rPr>
                <w:bCs w:val="0"/>
                <w:color w:val="404040" w:themeColor="text1" w:themeTint="BF"/>
                <w:sz w:val="16"/>
                <w:szCs w:val="14"/>
              </w:rPr>
            </w:pPr>
            <w:r w:rsidRPr="00147292">
              <w:rPr>
                <w:bCs w:val="0"/>
                <w:color w:val="404040" w:themeColor="text1" w:themeTint="BF"/>
                <w:sz w:val="16"/>
                <w:szCs w:val="14"/>
              </w:rPr>
              <w:t>STANDARD &amp; POOR</w:t>
            </w:r>
            <w:r w:rsidR="00147292" w:rsidRPr="00147292">
              <w:rPr>
                <w:bCs w:val="0"/>
                <w:color w:val="404040" w:themeColor="text1" w:themeTint="BF"/>
                <w:sz w:val="16"/>
                <w:szCs w:val="14"/>
              </w:rPr>
              <w:t>’</w:t>
            </w:r>
            <w:r w:rsidRPr="00147292">
              <w:rPr>
                <w:bCs w:val="0"/>
                <w:color w:val="404040" w:themeColor="text1" w:themeTint="BF"/>
                <w:sz w:val="16"/>
                <w:szCs w:val="14"/>
              </w:rPr>
              <w:t>S</w:t>
            </w:r>
          </w:p>
        </w:tc>
        <w:tc>
          <w:tcPr>
            <w:tcW w:w="2599" w:type="dxa"/>
          </w:tcPr>
          <w:p w14:paraId="03ACF4AE" w14:textId="4091093B" w:rsidR="001B0DDD" w:rsidRPr="00147292" w:rsidRDefault="00147292" w:rsidP="00147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  <w:sz w:val="16"/>
                <w:szCs w:val="14"/>
              </w:rPr>
            </w:pPr>
            <w:r w:rsidRPr="00147292">
              <w:rPr>
                <w:b/>
                <w:color w:val="404040" w:themeColor="text1" w:themeTint="BF"/>
                <w:sz w:val="16"/>
                <w:szCs w:val="14"/>
              </w:rPr>
              <w:t>BBB+ (perspectiva estável)</w:t>
            </w:r>
          </w:p>
        </w:tc>
      </w:tr>
      <w:tr w:rsidR="00147292" w:rsidRPr="00147292" w14:paraId="1857F650" w14:textId="77777777" w:rsidTr="00F668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DB703F" w14:textId="6F8131B6" w:rsidR="001B0DDD" w:rsidRPr="00147292" w:rsidRDefault="00F66836" w:rsidP="00147292">
            <w:pPr>
              <w:jc w:val="center"/>
              <w:rPr>
                <w:bCs w:val="0"/>
                <w:color w:val="404040" w:themeColor="text1" w:themeTint="BF"/>
                <w:sz w:val="16"/>
                <w:szCs w:val="14"/>
              </w:rPr>
            </w:pPr>
            <w:r>
              <w:rPr>
                <w:bCs w:val="0"/>
                <w:color w:val="404040" w:themeColor="text1" w:themeTint="BF"/>
                <w:sz w:val="16"/>
                <w:szCs w:val="14"/>
              </w:rPr>
              <w:t>MOODY’S</w:t>
            </w:r>
          </w:p>
        </w:tc>
        <w:tc>
          <w:tcPr>
            <w:tcW w:w="2599" w:type="dxa"/>
          </w:tcPr>
          <w:p w14:paraId="756E0237" w14:textId="40D9BA50" w:rsidR="001B0DDD" w:rsidRPr="00147292" w:rsidRDefault="004A28F3" w:rsidP="00147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  <w:sz w:val="16"/>
                <w:szCs w:val="14"/>
              </w:rPr>
            </w:pPr>
            <w:r>
              <w:rPr>
                <w:b/>
                <w:color w:val="404040" w:themeColor="text1" w:themeTint="BF"/>
                <w:sz w:val="16"/>
                <w:szCs w:val="14"/>
              </w:rPr>
              <w:t>Baa1 (perspectiva estável)</w:t>
            </w:r>
          </w:p>
        </w:tc>
      </w:tr>
      <w:tr w:rsidR="00147292" w:rsidRPr="00147292" w14:paraId="569FCB3B" w14:textId="77777777" w:rsidTr="00F66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911822" w14:textId="29017365" w:rsidR="001B0DDD" w:rsidRPr="00147292" w:rsidRDefault="003D2BF6" w:rsidP="00147292">
            <w:pPr>
              <w:jc w:val="center"/>
              <w:rPr>
                <w:bCs w:val="0"/>
                <w:color w:val="404040" w:themeColor="text1" w:themeTint="BF"/>
                <w:sz w:val="16"/>
                <w:szCs w:val="14"/>
              </w:rPr>
            </w:pPr>
            <w:r w:rsidRPr="00AF6A83">
              <w:rPr>
                <w:bCs w:val="0"/>
                <w:color w:val="404040" w:themeColor="text1" w:themeTint="BF"/>
                <w:sz w:val="16"/>
                <w:szCs w:val="14"/>
              </w:rPr>
              <w:lastRenderedPageBreak/>
              <w:t>FITCH RATINGS</w:t>
            </w:r>
          </w:p>
        </w:tc>
        <w:tc>
          <w:tcPr>
            <w:tcW w:w="2599" w:type="dxa"/>
          </w:tcPr>
          <w:p w14:paraId="36578540" w14:textId="2B149D38" w:rsidR="001B0DDD" w:rsidRPr="00147292" w:rsidRDefault="003D2BF6" w:rsidP="00147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  <w:sz w:val="16"/>
                <w:szCs w:val="14"/>
              </w:rPr>
            </w:pPr>
            <w:r w:rsidRPr="00147292">
              <w:rPr>
                <w:b/>
                <w:color w:val="404040" w:themeColor="text1" w:themeTint="BF"/>
                <w:sz w:val="16"/>
                <w:szCs w:val="14"/>
              </w:rPr>
              <w:t>BBB+ (perspectiva estável)</w:t>
            </w:r>
          </w:p>
        </w:tc>
      </w:tr>
      <w:tr w:rsidR="00147292" w:rsidRPr="00147292" w14:paraId="5E56800F" w14:textId="77777777" w:rsidTr="00F668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4479B7" w14:textId="7A9423EB" w:rsidR="001B0DDD" w:rsidRPr="00147292" w:rsidRDefault="003D2BF6" w:rsidP="00147292">
            <w:pPr>
              <w:jc w:val="center"/>
              <w:rPr>
                <w:bCs w:val="0"/>
                <w:color w:val="404040" w:themeColor="text1" w:themeTint="BF"/>
                <w:sz w:val="16"/>
                <w:szCs w:val="14"/>
              </w:rPr>
            </w:pPr>
            <w:r>
              <w:rPr>
                <w:bCs w:val="0"/>
                <w:color w:val="404040" w:themeColor="text1" w:themeTint="BF"/>
                <w:sz w:val="16"/>
                <w:szCs w:val="14"/>
              </w:rPr>
              <w:t>AUSTIN RATING</w:t>
            </w:r>
          </w:p>
        </w:tc>
        <w:tc>
          <w:tcPr>
            <w:tcW w:w="2599" w:type="dxa"/>
          </w:tcPr>
          <w:p w14:paraId="1CFE2ECF" w14:textId="0A07B730" w:rsidR="001B0DDD" w:rsidRPr="00147292" w:rsidRDefault="003D2BF6" w:rsidP="00147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  <w:sz w:val="16"/>
                <w:szCs w:val="14"/>
              </w:rPr>
            </w:pPr>
            <w:r>
              <w:rPr>
                <w:b/>
                <w:color w:val="404040" w:themeColor="text1" w:themeTint="BF"/>
                <w:sz w:val="16"/>
                <w:szCs w:val="14"/>
              </w:rPr>
              <w:t xml:space="preserve">A </w:t>
            </w:r>
            <w:r w:rsidR="00172B04" w:rsidRPr="00147292">
              <w:rPr>
                <w:b/>
                <w:color w:val="404040" w:themeColor="text1" w:themeTint="BF"/>
                <w:sz w:val="16"/>
                <w:szCs w:val="14"/>
              </w:rPr>
              <w:t>(perspectiva estável)</w:t>
            </w:r>
          </w:p>
        </w:tc>
      </w:tr>
      <w:tr w:rsidR="00147292" w:rsidRPr="00147292" w14:paraId="02DF8AFA" w14:textId="77777777" w:rsidTr="00F66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4F728B" w14:textId="65DA6343" w:rsidR="001B0DDD" w:rsidRPr="00147292" w:rsidRDefault="009635AC" w:rsidP="00147292">
            <w:pPr>
              <w:jc w:val="center"/>
              <w:rPr>
                <w:bCs w:val="0"/>
                <w:color w:val="404040" w:themeColor="text1" w:themeTint="BF"/>
                <w:sz w:val="16"/>
                <w:szCs w:val="14"/>
              </w:rPr>
            </w:pPr>
            <w:r>
              <w:rPr>
                <w:bCs w:val="0"/>
                <w:color w:val="404040" w:themeColor="text1" w:themeTint="BF"/>
                <w:sz w:val="16"/>
                <w:szCs w:val="14"/>
              </w:rPr>
              <w:t>LF RATING</w:t>
            </w:r>
          </w:p>
        </w:tc>
        <w:tc>
          <w:tcPr>
            <w:tcW w:w="2599" w:type="dxa"/>
          </w:tcPr>
          <w:p w14:paraId="6FEA1975" w14:textId="316F121B" w:rsidR="001B0DDD" w:rsidRPr="00147292" w:rsidRDefault="00172B04" w:rsidP="00147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  <w:sz w:val="16"/>
                <w:szCs w:val="14"/>
              </w:rPr>
            </w:pPr>
            <w:r>
              <w:rPr>
                <w:b/>
                <w:color w:val="404040" w:themeColor="text1" w:themeTint="BF"/>
                <w:sz w:val="16"/>
                <w:szCs w:val="14"/>
              </w:rPr>
              <w:t xml:space="preserve">A </w:t>
            </w:r>
            <w:r w:rsidRPr="00147292">
              <w:rPr>
                <w:b/>
                <w:color w:val="404040" w:themeColor="text1" w:themeTint="BF"/>
                <w:sz w:val="16"/>
                <w:szCs w:val="14"/>
              </w:rPr>
              <w:t>(perspectiva estável)</w:t>
            </w:r>
          </w:p>
        </w:tc>
      </w:tr>
      <w:tr w:rsidR="00147292" w:rsidRPr="00147292" w14:paraId="45AFE656" w14:textId="77777777" w:rsidTr="00F668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E35AD5" w14:textId="3EEE3536" w:rsidR="001B0DDD" w:rsidRPr="00147292" w:rsidRDefault="00CE1C3C" w:rsidP="00147292">
            <w:pPr>
              <w:jc w:val="center"/>
              <w:rPr>
                <w:bCs w:val="0"/>
                <w:color w:val="404040" w:themeColor="text1" w:themeTint="BF"/>
                <w:sz w:val="16"/>
                <w:szCs w:val="14"/>
              </w:rPr>
            </w:pPr>
            <w:r>
              <w:rPr>
                <w:bCs w:val="0"/>
                <w:color w:val="404040" w:themeColor="text1" w:themeTint="BF"/>
                <w:sz w:val="16"/>
                <w:szCs w:val="14"/>
              </w:rPr>
              <w:t>LIBERUM RATING</w:t>
            </w:r>
          </w:p>
        </w:tc>
        <w:tc>
          <w:tcPr>
            <w:tcW w:w="2599" w:type="dxa"/>
          </w:tcPr>
          <w:p w14:paraId="31207832" w14:textId="75A7D40B" w:rsidR="001B0DDD" w:rsidRPr="00147292" w:rsidRDefault="00172B04" w:rsidP="00147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  <w:sz w:val="16"/>
                <w:szCs w:val="14"/>
              </w:rPr>
            </w:pPr>
            <w:r>
              <w:rPr>
                <w:b/>
                <w:color w:val="404040" w:themeColor="text1" w:themeTint="BF"/>
                <w:sz w:val="16"/>
                <w:szCs w:val="14"/>
              </w:rPr>
              <w:t xml:space="preserve">A </w:t>
            </w:r>
            <w:r w:rsidRPr="00147292">
              <w:rPr>
                <w:b/>
                <w:color w:val="404040" w:themeColor="text1" w:themeTint="BF"/>
                <w:sz w:val="16"/>
                <w:szCs w:val="14"/>
              </w:rPr>
              <w:t>(perspectiva estável)</w:t>
            </w:r>
          </w:p>
        </w:tc>
      </w:tr>
    </w:tbl>
    <w:p w14:paraId="36121C55" w14:textId="77777777" w:rsidR="006E1F51" w:rsidRDefault="006E1F51" w:rsidP="00D62A5D"/>
    <w:p w14:paraId="44577784" w14:textId="5D05797A" w:rsidR="006B0FB7" w:rsidRDefault="006B0FB7" w:rsidP="00D62A5D">
      <w:r w:rsidRPr="00516AB2">
        <w:t xml:space="preserve">As agências classificadoras de risco supracitadas estão devidamente </w:t>
      </w:r>
      <w:r w:rsidR="009E30C1" w:rsidRPr="00516AB2">
        <w:t>registradas</w:t>
      </w:r>
      <w:r w:rsidR="00527DA1" w:rsidRPr="00516AB2">
        <w:t xml:space="preserve"> na </w:t>
      </w:r>
      <w:r w:rsidR="00E069F2">
        <w:t xml:space="preserve">Comissão de Valores Mobiliários </w:t>
      </w:r>
      <w:r w:rsidR="00BD7B0D">
        <w:t xml:space="preserve">- </w:t>
      </w:r>
      <w:r w:rsidR="00527DA1" w:rsidRPr="00516AB2">
        <w:t>CVM e</w:t>
      </w:r>
      <w:r w:rsidR="009E30C1" w:rsidRPr="00516AB2">
        <w:t xml:space="preserve"> </w:t>
      </w:r>
      <w:r w:rsidRPr="00516AB2">
        <w:t>autorizadas a operar no Brasil</w:t>
      </w:r>
      <w:r w:rsidR="00CB684E">
        <w:t>. U</w:t>
      </w:r>
      <w:r w:rsidRPr="00516AB2">
        <w:t xml:space="preserve">tilizam o sistema de </w:t>
      </w:r>
      <w:r w:rsidRPr="00BD7B0D">
        <w:rPr>
          <w:i/>
          <w:iCs/>
        </w:rPr>
        <w:t>rating</w:t>
      </w:r>
      <w:r w:rsidRPr="00516AB2">
        <w:t xml:space="preserve"> para classificar o nível de risco </w:t>
      </w:r>
      <w:r w:rsidR="000A5C64">
        <w:t>d</w:t>
      </w:r>
      <w:r w:rsidR="00BD7B0D">
        <w:t>as instituições</w:t>
      </w:r>
      <w:r w:rsidR="00DF7B86">
        <w:t xml:space="preserve"> financeiras</w:t>
      </w:r>
      <w:r w:rsidRPr="00516AB2">
        <w:t xml:space="preserve">, fundo de investimentos e dos ativos </w:t>
      </w:r>
      <w:r w:rsidR="00DF7B86">
        <w:t xml:space="preserve">financeiros </w:t>
      </w:r>
      <w:r w:rsidRPr="00516AB2">
        <w:t>integrantes</w:t>
      </w:r>
      <w:r w:rsidR="00DF7B86">
        <w:t xml:space="preserve"> da carteira de investimentos dos fundos de investimentos ou demais ativos financeiros</w:t>
      </w:r>
      <w:r w:rsidRPr="00516AB2">
        <w:t>.</w:t>
      </w:r>
    </w:p>
    <w:p w14:paraId="6A90E5C8" w14:textId="77777777" w:rsidR="006B0FB7" w:rsidRPr="00516AB2" w:rsidRDefault="006B0FB7" w:rsidP="00276EFD">
      <w:pPr>
        <w:pStyle w:val="Ttulo3"/>
      </w:pPr>
      <w:bookmarkStart w:id="99" w:name="_Toc435189695"/>
      <w:bookmarkStart w:id="100" w:name="_Toc435202753"/>
      <w:bookmarkStart w:id="101" w:name="_Toc490036559"/>
      <w:bookmarkStart w:id="102" w:name="_Toc118105150"/>
      <w:r w:rsidRPr="00516AB2">
        <w:t xml:space="preserve">CONTROLE DO RISCO DE </w:t>
      </w:r>
      <w:bookmarkEnd w:id="99"/>
      <w:r w:rsidRPr="00516AB2">
        <w:t>LIQUIDEZ</w:t>
      </w:r>
      <w:bookmarkEnd w:id="100"/>
      <w:bookmarkEnd w:id="101"/>
      <w:bookmarkEnd w:id="102"/>
      <w:r w:rsidRPr="00516AB2">
        <w:t xml:space="preserve"> </w:t>
      </w:r>
    </w:p>
    <w:p w14:paraId="53CC19E6" w14:textId="4A7E8B7A" w:rsidR="006B0FB7" w:rsidRDefault="006B0FB7" w:rsidP="00D62A5D">
      <w:r w:rsidRPr="00516AB2">
        <w:t xml:space="preserve">Nas aplicações em </w:t>
      </w:r>
      <w:r w:rsidR="00A03996">
        <w:t xml:space="preserve">ativos financeiros que </w:t>
      </w:r>
      <w:r w:rsidR="00513FAD">
        <w:t>tem seu prazo de liquidez superior a</w:t>
      </w:r>
      <w:r w:rsidRPr="00516AB2">
        <w:t xml:space="preserve"> 365 </w:t>
      </w:r>
      <w:r w:rsidR="008F4D11">
        <w:t xml:space="preserve">(trezentos e sessenta e cinco) </w:t>
      </w:r>
      <w:r w:rsidRPr="00516AB2">
        <w:t xml:space="preserve">dias, a aprovação </w:t>
      </w:r>
      <w:r w:rsidR="003A540D">
        <w:t xml:space="preserve">de alocação dos recursos </w:t>
      </w:r>
      <w:r w:rsidRPr="00516AB2">
        <w:t xml:space="preserve">deverá ser precedida de </w:t>
      </w:r>
      <w:r w:rsidR="00702E1B">
        <w:t xml:space="preserve">atestado </w:t>
      </w:r>
      <w:r w:rsidR="008F4D11">
        <w:t xml:space="preserve">de compatibilidade </w:t>
      </w:r>
      <w:r w:rsidR="00702E1B">
        <w:t>que comprov</w:t>
      </w:r>
      <w:r w:rsidR="003A540D">
        <w:t>e</w:t>
      </w:r>
      <w:r w:rsidR="00702E1B">
        <w:t xml:space="preserve"> a </w:t>
      </w:r>
      <w:r w:rsidRPr="00516AB2">
        <w:t xml:space="preserve">análise </w:t>
      </w:r>
      <w:r w:rsidR="00702E1B">
        <w:t xml:space="preserve">de evidenciação quanto </w:t>
      </w:r>
      <w:r w:rsidRPr="00516AB2">
        <w:t xml:space="preserve">a capacidade do </w:t>
      </w:r>
      <w:r w:rsidR="00163DF1">
        <w:rPr>
          <w:b/>
          <w:bCs/>
          <w:color w:val="000000" w:themeColor="text1"/>
          <w:szCs w:val="20"/>
        </w:rPr>
        <w:t>MUNICÍ</w:t>
      </w:r>
      <w:r w:rsidR="00163DF1" w:rsidRPr="006053F5">
        <w:rPr>
          <w:b/>
          <w:bCs/>
          <w:color w:val="000000" w:themeColor="text1"/>
          <w:szCs w:val="20"/>
        </w:rPr>
        <w:t>PIO</w:t>
      </w:r>
      <w:r w:rsidR="00163DF1" w:rsidRPr="00716D43">
        <w:rPr>
          <w:b/>
          <w:color w:val="000000" w:themeColor="text1"/>
        </w:rPr>
        <w:t xml:space="preserve"> </w:t>
      </w:r>
      <w:r w:rsidR="00A54E10" w:rsidRPr="00716D43">
        <w:rPr>
          <w:b/>
          <w:color w:val="000000" w:themeColor="text1"/>
        </w:rPr>
        <w:t>DE GUARACI</w:t>
      </w:r>
      <w:r w:rsidR="00A54E10" w:rsidRPr="00516AB2">
        <w:t xml:space="preserve"> </w:t>
      </w:r>
      <w:r w:rsidRPr="00516AB2">
        <w:t>em arcar com o fluxo de despesas necessárias ao cumprimento de suas obrigações atuariais, até a data da disponibilização dos recursos investidos.</w:t>
      </w:r>
    </w:p>
    <w:p w14:paraId="4F102DB1" w14:textId="3D843C3F" w:rsidR="00C415AC" w:rsidRDefault="0019533F" w:rsidP="00D62A5D">
      <w:r>
        <w:t xml:space="preserve">Entende-se como atestado de compatibilidade que comprova a </w:t>
      </w:r>
      <w:r w:rsidRPr="00516AB2">
        <w:t xml:space="preserve">análise </w:t>
      </w:r>
      <w:r>
        <w:t xml:space="preserve">de evidenciação quanto </w:t>
      </w:r>
      <w:r w:rsidRPr="00516AB2">
        <w:t>a capacidade</w:t>
      </w:r>
      <w:r>
        <w:t xml:space="preserve"> </w:t>
      </w:r>
      <w:r w:rsidRPr="00516AB2">
        <w:t>em arcar com o fluxo de despesas necessárias ao cumprimento de suas obrigações atuariais, até a data da disponibilização do</w:t>
      </w:r>
      <w:r w:rsidR="00062581">
        <w:t xml:space="preserve">s recursos investidos, </w:t>
      </w:r>
      <w:r w:rsidR="002B0D96">
        <w:t>o estudo de</w:t>
      </w:r>
      <w:r w:rsidR="00555173">
        <w:t xml:space="preserve"> </w:t>
      </w:r>
      <w:r w:rsidR="0012355F">
        <w:t>A</w:t>
      </w:r>
      <w:r w:rsidR="00062581">
        <w:t xml:space="preserve">LM – </w:t>
      </w:r>
      <w:proofErr w:type="spellStart"/>
      <w:r w:rsidR="00062581">
        <w:t>Asset</w:t>
      </w:r>
      <w:proofErr w:type="spellEnd"/>
      <w:r w:rsidR="00062581">
        <w:t xml:space="preserve"> </w:t>
      </w:r>
      <w:proofErr w:type="spellStart"/>
      <w:r w:rsidR="00062581">
        <w:t>Liability</w:t>
      </w:r>
      <w:proofErr w:type="spellEnd"/>
      <w:r w:rsidR="00062581">
        <w:t xml:space="preserve"> Management.</w:t>
      </w:r>
    </w:p>
    <w:p w14:paraId="03D23B00" w14:textId="77777777" w:rsidR="00BA7715" w:rsidRDefault="00BA7715">
      <w:pPr>
        <w:jc w:val="left"/>
      </w:pPr>
    </w:p>
    <w:p w14:paraId="1BE8DBE4" w14:textId="77AC9070" w:rsidR="00AF48AB" w:rsidRPr="00EA2DE2" w:rsidRDefault="00AF48AB" w:rsidP="007A06D1">
      <w:pPr>
        <w:pStyle w:val="Ttulo3"/>
        <w:ind w:left="1428"/>
      </w:pPr>
      <w:bookmarkStart w:id="103" w:name="_Toc118105151"/>
      <w:r w:rsidRPr="00EA2DE2">
        <w:t>CRÉDITO CONSIGNADO</w:t>
      </w:r>
      <w:bookmarkEnd w:id="103"/>
    </w:p>
    <w:p w14:paraId="4F488A13" w14:textId="3C23A86D" w:rsidR="00AF48AB" w:rsidRDefault="00AF48AB" w:rsidP="00AF48AB">
      <w:r>
        <w:t>Para cobertura aos riscos diante do processo de concessão e gestão dos créditos relativos aos empréstimos consignados, a unidade gestora vai adotar os seguintes critérios seguindo os parâmetros da Portaria 1</w:t>
      </w:r>
      <w:r w:rsidR="00324801">
        <w:t>.</w:t>
      </w:r>
      <w:r>
        <w:t xml:space="preserve">467/22 Anexo VIII, Seção III, Art. 13: </w:t>
      </w:r>
    </w:p>
    <w:p w14:paraId="2CE5E959" w14:textId="77777777" w:rsidR="00AF48AB" w:rsidRDefault="00AF48AB" w:rsidP="00AF48AB">
      <w:pPr>
        <w:pStyle w:val="PargrafodaLista"/>
        <w:numPr>
          <w:ilvl w:val="0"/>
          <w:numId w:val="69"/>
        </w:numPr>
        <w:jc w:val="left"/>
      </w:pPr>
      <w:r>
        <w:t xml:space="preserve">Constituição de fundos garantidores </w:t>
      </w:r>
      <w:r w:rsidRPr="00E25C72">
        <w:rPr>
          <w:highlight w:val="yellow"/>
        </w:rPr>
        <w:t>e/ou</w:t>
      </w:r>
      <w:r>
        <w:t xml:space="preserve"> oscilação de riscos;</w:t>
      </w:r>
    </w:p>
    <w:p w14:paraId="4C91B852" w14:textId="3EF66B47" w:rsidR="00AF48AB" w:rsidRDefault="00AF48AB" w:rsidP="00397EA1">
      <w:pPr>
        <w:pStyle w:val="PargrafodaLista"/>
        <w:numPr>
          <w:ilvl w:val="0"/>
          <w:numId w:val="69"/>
        </w:numPr>
        <w:jc w:val="left"/>
      </w:pPr>
      <w:r>
        <w:rPr>
          <w:highlight w:val="yellow"/>
        </w:rPr>
        <w:t>E</w:t>
      </w:r>
      <w:r w:rsidRPr="00E25C72">
        <w:rPr>
          <w:highlight w:val="yellow"/>
        </w:rPr>
        <w:t>/ou</w:t>
      </w:r>
      <w:r>
        <w:t xml:space="preserve"> Contratação de seguros regulamentados pelo Conselho Nacional de Seguros Privados CNSP e autorizados Superintendência de Seguros Privados pela Susep.</w:t>
      </w:r>
    </w:p>
    <w:p w14:paraId="28A34DB5" w14:textId="77777777" w:rsidR="00AF48AB" w:rsidRDefault="00AF48AB" w:rsidP="002A154C">
      <w:pPr>
        <w:jc w:val="center"/>
      </w:pPr>
    </w:p>
    <w:p w14:paraId="0AB43B99" w14:textId="5FC2CBC5" w:rsidR="00062581" w:rsidRPr="00062581" w:rsidRDefault="00062581" w:rsidP="005222CD">
      <w:pPr>
        <w:pStyle w:val="Ttulo1"/>
        <w:spacing w:before="360"/>
      </w:pPr>
      <w:bookmarkStart w:id="104" w:name="_Toc118105152"/>
      <w:r w:rsidRPr="00062581">
        <w:t>ALM – ASSET LIABILITY MANAGEMENT</w:t>
      </w:r>
      <w:bookmarkEnd w:id="104"/>
    </w:p>
    <w:p w14:paraId="597E476C" w14:textId="5ED0EA8B" w:rsidR="00EC32B7" w:rsidRDefault="007E1A1B" w:rsidP="005222CD">
      <w:r>
        <w:t>As aplicações dos recursos e sua continuidade</w:t>
      </w:r>
      <w:r w:rsidR="00AC0D44">
        <w:t xml:space="preserve"> </w:t>
      </w:r>
      <w:r>
        <w:t>deverão</w:t>
      </w:r>
      <w:r w:rsidR="00AC0D44">
        <w:t xml:space="preserve"> </w:t>
      </w:r>
      <w:r>
        <w:t>observar a compatibilidade dos ativos investidos com os prazos, montantes e taxas das obrigações</w:t>
      </w:r>
      <w:r w:rsidR="00AC0D44">
        <w:t xml:space="preserve"> </w:t>
      </w:r>
      <w:r>
        <w:t>atuariais presentes e futuras do</w:t>
      </w:r>
      <w:r w:rsidR="00EB222C">
        <w:t xml:space="preserve"> </w:t>
      </w:r>
      <w:r w:rsidR="00163DF1">
        <w:rPr>
          <w:b/>
          <w:bCs/>
          <w:color w:val="000000" w:themeColor="text1"/>
          <w:szCs w:val="20"/>
        </w:rPr>
        <w:t>MUNICÍ</w:t>
      </w:r>
      <w:r w:rsidR="00163DF1" w:rsidRPr="006053F5">
        <w:rPr>
          <w:b/>
          <w:bCs/>
          <w:color w:val="000000" w:themeColor="text1"/>
          <w:szCs w:val="20"/>
        </w:rPr>
        <w:t>PIO</w:t>
      </w:r>
      <w:r w:rsidR="00163DF1" w:rsidRPr="00716D43">
        <w:rPr>
          <w:b/>
          <w:color w:val="000000" w:themeColor="text1"/>
        </w:rPr>
        <w:t xml:space="preserve"> </w:t>
      </w:r>
      <w:r w:rsidR="00A54E10" w:rsidRPr="00716D43">
        <w:rPr>
          <w:b/>
          <w:color w:val="000000" w:themeColor="text1"/>
        </w:rPr>
        <w:t>DE GUARACI</w:t>
      </w:r>
      <w:r>
        <w:t>, com o objetivo de manter o</w:t>
      </w:r>
      <w:r w:rsidR="00EB222C">
        <w:t xml:space="preserve"> </w:t>
      </w:r>
      <w:r>
        <w:t xml:space="preserve">equilíbrio </w:t>
      </w:r>
      <w:r w:rsidR="00EC32B7">
        <w:t>econômico-financeiro</w:t>
      </w:r>
      <w:r>
        <w:t xml:space="preserve"> entre ativos e passivos.</w:t>
      </w:r>
    </w:p>
    <w:p w14:paraId="2F381404" w14:textId="5418C356" w:rsidR="00C415AC" w:rsidRDefault="007E1A1B" w:rsidP="005222CD">
      <w:r>
        <w:t xml:space="preserve">Para garantir a compatibilidade, os responsáveis </w:t>
      </w:r>
      <w:r w:rsidR="00456234">
        <w:t xml:space="preserve">pelo </w:t>
      </w:r>
      <w:r w:rsidR="00163DF1">
        <w:rPr>
          <w:b/>
          <w:bCs/>
          <w:color w:val="000000" w:themeColor="text1"/>
          <w:szCs w:val="20"/>
        </w:rPr>
        <w:t>MUNICÍ</w:t>
      </w:r>
      <w:r w:rsidR="00163DF1" w:rsidRPr="006053F5">
        <w:rPr>
          <w:b/>
          <w:bCs/>
          <w:color w:val="000000" w:themeColor="text1"/>
          <w:szCs w:val="20"/>
        </w:rPr>
        <w:t>PIO</w:t>
      </w:r>
      <w:r w:rsidR="00163DF1" w:rsidRPr="00716D43">
        <w:rPr>
          <w:b/>
          <w:color w:val="000000" w:themeColor="text1"/>
        </w:rPr>
        <w:t xml:space="preserve"> </w:t>
      </w:r>
      <w:r w:rsidR="00A54E10" w:rsidRPr="00716D43">
        <w:rPr>
          <w:b/>
          <w:color w:val="000000" w:themeColor="text1"/>
        </w:rPr>
        <w:t>DE GUARACI</w:t>
      </w:r>
      <w:r w:rsidR="00A54E10" w:rsidRPr="00516AB2">
        <w:t xml:space="preserve"> </w:t>
      </w:r>
      <w:r>
        <w:t>devem</w:t>
      </w:r>
      <w:r w:rsidR="00456234">
        <w:t xml:space="preserve"> m</w:t>
      </w:r>
      <w:r>
        <w:t xml:space="preserve">anter </w:t>
      </w:r>
      <w:r w:rsidR="00456234">
        <w:t xml:space="preserve">os </w:t>
      </w:r>
      <w:r>
        <w:t>procedimentos e controles internos formalizados para a gestão do risco de liquidez</w:t>
      </w:r>
      <w:r w:rsidR="00456234">
        <w:t xml:space="preserve"> </w:t>
      </w:r>
      <w:r>
        <w:t>das aplicações de forma que os recursos estejam disponíveis na data do pagamento dos benefícios e</w:t>
      </w:r>
      <w:r w:rsidR="00C56294">
        <w:t xml:space="preserve"> </w:t>
      </w:r>
      <w:r>
        <w:t xml:space="preserve">demais obrigações do </w:t>
      </w:r>
      <w:r w:rsidR="00385945">
        <w:t>R</w:t>
      </w:r>
      <w:r>
        <w:t>egime</w:t>
      </w:r>
      <w:r w:rsidR="00953892">
        <w:t xml:space="preserve">. Deverão inclusive </w:t>
      </w:r>
      <w:r>
        <w:t>realizar o acompanhamento dos fluxos de pagamentos dos ativos, assegurando o</w:t>
      </w:r>
      <w:r w:rsidR="00953892">
        <w:t xml:space="preserve"> </w:t>
      </w:r>
      <w:r>
        <w:t xml:space="preserve">cumprimento dos prazos e dos montantes das obrigações do </w:t>
      </w:r>
      <w:r w:rsidR="00163DF1">
        <w:rPr>
          <w:b/>
          <w:bCs/>
          <w:color w:val="000000" w:themeColor="text1"/>
          <w:szCs w:val="20"/>
        </w:rPr>
        <w:t>MUNICÍ</w:t>
      </w:r>
      <w:r w:rsidR="00163DF1" w:rsidRPr="006053F5">
        <w:rPr>
          <w:b/>
          <w:bCs/>
          <w:color w:val="000000" w:themeColor="text1"/>
          <w:szCs w:val="20"/>
        </w:rPr>
        <w:t>PIO</w:t>
      </w:r>
      <w:r w:rsidR="00163DF1" w:rsidRPr="00716D43">
        <w:rPr>
          <w:b/>
          <w:color w:val="000000" w:themeColor="text1"/>
        </w:rPr>
        <w:t xml:space="preserve"> </w:t>
      </w:r>
      <w:r w:rsidR="00A54E10" w:rsidRPr="00716D43">
        <w:rPr>
          <w:b/>
          <w:color w:val="000000" w:themeColor="text1"/>
        </w:rPr>
        <w:t>DE GUARACI</w:t>
      </w:r>
      <w:r w:rsidR="001C6638">
        <w:t>.</w:t>
      </w:r>
    </w:p>
    <w:p w14:paraId="49EDC645" w14:textId="26EAC776" w:rsidR="005E6270" w:rsidRDefault="002330DA" w:rsidP="005222CD">
      <w:r>
        <w:lastRenderedPageBreak/>
        <w:t xml:space="preserve">Para </w:t>
      </w:r>
      <w:r w:rsidR="00E20D66">
        <w:t xml:space="preserve">se fazer cumprir as obrigatoriedades descritas acima, o </w:t>
      </w:r>
      <w:r w:rsidR="00163DF1">
        <w:rPr>
          <w:b/>
          <w:bCs/>
          <w:color w:val="000000" w:themeColor="text1"/>
          <w:szCs w:val="20"/>
        </w:rPr>
        <w:t>MUNICÍ</w:t>
      </w:r>
      <w:r w:rsidR="00163DF1" w:rsidRPr="006053F5">
        <w:rPr>
          <w:b/>
          <w:bCs/>
          <w:color w:val="000000" w:themeColor="text1"/>
          <w:szCs w:val="20"/>
        </w:rPr>
        <w:t>PIO</w:t>
      </w:r>
      <w:r w:rsidR="00163DF1" w:rsidRPr="00716D43">
        <w:rPr>
          <w:b/>
          <w:color w:val="000000" w:themeColor="text1"/>
        </w:rPr>
        <w:t xml:space="preserve"> </w:t>
      </w:r>
      <w:r w:rsidR="00A54E10" w:rsidRPr="00716D43">
        <w:rPr>
          <w:b/>
          <w:color w:val="000000" w:themeColor="text1"/>
        </w:rPr>
        <w:t>DE GUARACI</w:t>
      </w:r>
      <w:r w:rsidR="00A54E10" w:rsidRPr="00516AB2">
        <w:t xml:space="preserve"> </w:t>
      </w:r>
      <w:r w:rsidR="0023768F">
        <w:t>buscará a</w:t>
      </w:r>
      <w:r w:rsidR="005E6270">
        <w:t xml:space="preserve"> adoção da ferramenta de gestão conhecida como </w:t>
      </w:r>
      <w:r w:rsidR="00062581">
        <w:t xml:space="preserve">estudo de ALM – </w:t>
      </w:r>
      <w:proofErr w:type="spellStart"/>
      <w:r w:rsidR="00062581">
        <w:t>Asset</w:t>
      </w:r>
      <w:proofErr w:type="spellEnd"/>
      <w:r w:rsidR="00062581">
        <w:t xml:space="preserve"> </w:t>
      </w:r>
      <w:proofErr w:type="spellStart"/>
      <w:r w:rsidR="00062581">
        <w:t>Liability</w:t>
      </w:r>
      <w:proofErr w:type="spellEnd"/>
      <w:r w:rsidR="00062581">
        <w:t xml:space="preserve"> Management</w:t>
      </w:r>
      <w:r w:rsidR="005E6270">
        <w:t>.</w:t>
      </w:r>
    </w:p>
    <w:p w14:paraId="0DD33F9B" w14:textId="28B90D1A" w:rsidR="00062581" w:rsidRDefault="005E6270" w:rsidP="005222CD">
      <w:r>
        <w:t xml:space="preserve">O estudo </w:t>
      </w:r>
      <w:r w:rsidR="003B1954">
        <w:t xml:space="preserve">compreende a </w:t>
      </w:r>
      <w:r w:rsidR="00062581">
        <w:t xml:space="preserve">forma </w:t>
      </w:r>
      <w:r w:rsidR="00062581" w:rsidRPr="00062581">
        <w:t xml:space="preserve">pormenorizadamente </w:t>
      </w:r>
      <w:r w:rsidR="00541E90">
        <w:t>d</w:t>
      </w:r>
      <w:r w:rsidR="00062581">
        <w:t xml:space="preserve">a liquidez da carteira de investimentos em </w:t>
      </w:r>
      <w:r w:rsidR="00E546E5">
        <w:t>honrar</w:t>
      </w:r>
      <w:r w:rsidR="00062581">
        <w:t xml:space="preserve"> os compromissos presentes e futuros</w:t>
      </w:r>
      <w:r w:rsidR="005C7899">
        <w:t xml:space="preserve">, proporcionado </w:t>
      </w:r>
      <w:r w:rsidR="00EA5E17">
        <w:t xml:space="preserve">ao </w:t>
      </w:r>
      <w:r w:rsidR="00163DF1">
        <w:rPr>
          <w:b/>
          <w:bCs/>
          <w:color w:val="000000" w:themeColor="text1"/>
          <w:szCs w:val="20"/>
        </w:rPr>
        <w:t>MUNICÍ</w:t>
      </w:r>
      <w:r w:rsidR="00163DF1" w:rsidRPr="006053F5">
        <w:rPr>
          <w:b/>
          <w:bCs/>
          <w:color w:val="000000" w:themeColor="text1"/>
          <w:szCs w:val="20"/>
        </w:rPr>
        <w:t>PIO</w:t>
      </w:r>
      <w:r w:rsidR="00163DF1" w:rsidRPr="00716D43">
        <w:rPr>
          <w:b/>
          <w:color w:val="000000" w:themeColor="text1"/>
        </w:rPr>
        <w:t xml:space="preserve"> </w:t>
      </w:r>
      <w:r w:rsidR="00A54E10" w:rsidRPr="00716D43">
        <w:rPr>
          <w:b/>
          <w:color w:val="000000" w:themeColor="text1"/>
        </w:rPr>
        <w:t>DE GUARACI</w:t>
      </w:r>
      <w:r w:rsidR="00A54E10" w:rsidRPr="00516AB2">
        <w:t xml:space="preserve"> </w:t>
      </w:r>
      <w:r w:rsidR="00062581">
        <w:t xml:space="preserve">a busca pela otimização </w:t>
      </w:r>
      <w:r w:rsidR="00797C78">
        <w:t>d</w:t>
      </w:r>
      <w:r w:rsidR="0053365D">
        <w:t>a carteira</w:t>
      </w:r>
      <w:r w:rsidR="00062581">
        <w:t xml:space="preserve"> de investimentos, </w:t>
      </w:r>
      <w:r w:rsidR="005601E5">
        <w:t xml:space="preserve">apresentando </w:t>
      </w:r>
      <w:r w:rsidR="00797C78">
        <w:t xml:space="preserve">a melhor trajetória para </w:t>
      </w:r>
      <w:r w:rsidR="00295EB7">
        <w:t xml:space="preserve">o </w:t>
      </w:r>
      <w:r w:rsidR="00797C78">
        <w:t xml:space="preserve">cumprimento da meta </w:t>
      </w:r>
      <w:r w:rsidR="004E61A8">
        <w:t>de rentabilidade</w:t>
      </w:r>
      <w:r w:rsidR="00DD7713">
        <w:t>, resguardando</w:t>
      </w:r>
      <w:r w:rsidR="00062581">
        <w:t xml:space="preserve"> </w:t>
      </w:r>
      <w:r w:rsidR="00797C78">
        <w:t>o melhor</w:t>
      </w:r>
      <w:r w:rsidR="00062581">
        <w:t xml:space="preserve"> resultado financeiro </w:t>
      </w:r>
      <w:r w:rsidR="00797C78">
        <w:t xml:space="preserve">possível </w:t>
      </w:r>
      <w:r w:rsidR="00062581">
        <w:t>também no longo praz</w:t>
      </w:r>
      <w:r w:rsidR="004E61A8">
        <w:t>o.</w:t>
      </w:r>
    </w:p>
    <w:p w14:paraId="169A87B7" w14:textId="0BB4C8E1" w:rsidR="004E61A8" w:rsidRDefault="00B073F7" w:rsidP="005222CD">
      <w:r>
        <w:t>O estudo de</w:t>
      </w:r>
      <w:r w:rsidR="004E61A8">
        <w:t xml:space="preserve"> ALM – </w:t>
      </w:r>
      <w:proofErr w:type="spellStart"/>
      <w:r w:rsidR="004E61A8">
        <w:t>Asset</w:t>
      </w:r>
      <w:proofErr w:type="spellEnd"/>
      <w:r w:rsidR="004E61A8">
        <w:t xml:space="preserve"> </w:t>
      </w:r>
      <w:proofErr w:type="spellStart"/>
      <w:r w:rsidR="004E61A8">
        <w:t>Liability</w:t>
      </w:r>
      <w:proofErr w:type="spellEnd"/>
      <w:r w:rsidR="004E61A8">
        <w:t xml:space="preserve"> Management</w:t>
      </w:r>
      <w:r w:rsidR="000069E9">
        <w:t xml:space="preserve"> deverá </w:t>
      </w:r>
      <w:r w:rsidR="00414E5C">
        <w:t>ser</w:t>
      </w:r>
      <w:r>
        <w:t xml:space="preserve"> providenciado</w:t>
      </w:r>
      <w:r w:rsidR="00480A35">
        <w:t xml:space="preserve"> no </w:t>
      </w:r>
      <w:r w:rsidR="001A34F9">
        <w:t>mínimo uma vez ao ano</w:t>
      </w:r>
      <w:r w:rsidR="00414E5C">
        <w:t xml:space="preserve">, </w:t>
      </w:r>
      <w:r w:rsidR="000069E9">
        <w:t xml:space="preserve">após o fechamento </w:t>
      </w:r>
      <w:r w:rsidR="00C87DFC">
        <w:t>da Avaliação Atuarial</w:t>
      </w:r>
      <w:r w:rsidR="00555EA4">
        <w:t xml:space="preserve">, </w:t>
      </w:r>
      <w:r w:rsidR="00C87DFC">
        <w:t xml:space="preserve">sendo necessário </w:t>
      </w:r>
      <w:r w:rsidR="00245763">
        <w:t>seu acompanhamento</w:t>
      </w:r>
      <w:r w:rsidR="00254E9E">
        <w:t xml:space="preserve"> periódico, </w:t>
      </w:r>
      <w:r w:rsidR="001A34F9">
        <w:t>com emissão de Relatórios de Acompanhamento que proporcionará</w:t>
      </w:r>
      <w:r w:rsidR="00254E9E">
        <w:t xml:space="preserve"> as</w:t>
      </w:r>
      <w:r w:rsidR="00C87DFC">
        <w:t xml:space="preserve"> atualizaç</w:t>
      </w:r>
      <w:r w:rsidR="00D9555F">
        <w:t>ões</w:t>
      </w:r>
      <w:r w:rsidR="00C87DFC">
        <w:t xml:space="preserve"> </w:t>
      </w:r>
      <w:r w:rsidR="00555EA4">
        <w:t xml:space="preserve">de seus resultados </w:t>
      </w:r>
      <w:r w:rsidR="00254E9E">
        <w:t xml:space="preserve">em uma linha temporal não </w:t>
      </w:r>
      <w:r w:rsidR="00555EA4">
        <w:t>superior a um semestre.</w:t>
      </w:r>
    </w:p>
    <w:p w14:paraId="4481F100" w14:textId="17C81EA6" w:rsidR="00062581" w:rsidRPr="00062581" w:rsidRDefault="00C86686" w:rsidP="005222CD">
      <w:r w:rsidRPr="00BA7715">
        <w:t xml:space="preserve">Sua obrigatoriedade encontra-se prevista na Resolução CMN nº </w:t>
      </w:r>
      <w:r w:rsidR="00D9555F" w:rsidRPr="00BA7715">
        <w:t>4.963/2021</w:t>
      </w:r>
      <w:r w:rsidRPr="00BA7715">
        <w:t>, art. 6º, § 1º;</w:t>
      </w:r>
      <w:r w:rsidR="0026139D" w:rsidRPr="00BA7715">
        <w:t xml:space="preserve"> </w:t>
      </w:r>
      <w:r w:rsidR="00E72682" w:rsidRPr="00BA7715">
        <w:t xml:space="preserve">e </w:t>
      </w:r>
      <w:r w:rsidR="0026139D" w:rsidRPr="00BA7715">
        <w:t xml:space="preserve">art. </w:t>
      </w:r>
      <w:r w:rsidR="0076765F" w:rsidRPr="00BA7715">
        <w:t>102</w:t>
      </w:r>
      <w:r w:rsidR="0026139D" w:rsidRPr="00BA7715">
        <w:t>º</w:t>
      </w:r>
      <w:r w:rsidR="0076765F" w:rsidRPr="00BA7715">
        <w:t xml:space="preserve"> alínea “c” da</w:t>
      </w:r>
      <w:r w:rsidR="0026139D" w:rsidRPr="00BA7715">
        <w:t xml:space="preserve"> Portaria nº </w:t>
      </w:r>
      <w:r w:rsidR="00DF62B1" w:rsidRPr="00BA7715">
        <w:t>1</w:t>
      </w:r>
      <w:r w:rsidR="00142CA0">
        <w:t>.</w:t>
      </w:r>
      <w:r w:rsidR="00DF62B1" w:rsidRPr="00BA7715">
        <w:t>467</w:t>
      </w:r>
      <w:r w:rsidR="003648F2" w:rsidRPr="00BA7715">
        <w:t>/20</w:t>
      </w:r>
      <w:r w:rsidR="00DF62B1" w:rsidRPr="00BA7715">
        <w:t>22</w:t>
      </w:r>
      <w:r w:rsidR="00E72682" w:rsidRPr="00BA7715">
        <w:t>.</w:t>
      </w:r>
    </w:p>
    <w:p w14:paraId="2745080F" w14:textId="77777777" w:rsidR="0064064B" w:rsidRPr="000E405B" w:rsidRDefault="0064064B" w:rsidP="007A06D1">
      <w:pPr>
        <w:pStyle w:val="Ttulo1"/>
        <w:numPr>
          <w:ilvl w:val="0"/>
          <w:numId w:val="0"/>
        </w:numPr>
        <w:spacing w:before="360"/>
        <w:ind w:left="2275" w:hanging="432"/>
      </w:pPr>
      <w:bookmarkStart w:id="105" w:name="_Toc118105153"/>
      <w:r>
        <w:t xml:space="preserve">11.1 </w:t>
      </w:r>
      <w:r w:rsidRPr="007A06D1">
        <w:t>Equilíbrio Econômico e Financeiro</w:t>
      </w:r>
      <w:bookmarkEnd w:id="105"/>
      <w:r>
        <w:t xml:space="preserve"> </w:t>
      </w:r>
    </w:p>
    <w:p w14:paraId="1E52E03F" w14:textId="5889B816" w:rsidR="0064064B" w:rsidRPr="000E405B" w:rsidRDefault="0064064B" w:rsidP="0064064B">
      <w:pPr>
        <w:rPr>
          <w:bCs/>
          <w:szCs w:val="20"/>
          <w:highlight w:val="yellow"/>
        </w:rPr>
      </w:pPr>
      <w:r w:rsidRPr="000E405B">
        <w:rPr>
          <w:bCs/>
          <w:szCs w:val="20"/>
        </w:rPr>
        <w:t xml:space="preserve">Em atendimento ao Artigo </w:t>
      </w:r>
      <w:r w:rsidRPr="000E405B">
        <w:t xml:space="preserve">64 </w:t>
      </w:r>
      <w:r w:rsidRPr="000E405B">
        <w:rPr>
          <w:bCs/>
          <w:szCs w:val="20"/>
        </w:rPr>
        <w:t>§1º e §2º da Portaria</w:t>
      </w:r>
      <w:r w:rsidR="00324801">
        <w:rPr>
          <w:bCs/>
          <w:szCs w:val="20"/>
        </w:rPr>
        <w:t xml:space="preserve"> </w:t>
      </w:r>
      <w:r w:rsidRPr="000E405B">
        <w:t>1.467/2022</w:t>
      </w:r>
      <w:r w:rsidRPr="000E405B">
        <w:rPr>
          <w:bCs/>
          <w:szCs w:val="20"/>
        </w:rPr>
        <w:t>,</w:t>
      </w:r>
      <w:r>
        <w:rPr>
          <w:bCs/>
          <w:szCs w:val="20"/>
        </w:rPr>
        <w:t xml:space="preserve"> o</w:t>
      </w:r>
      <w:r w:rsidRPr="006E7D1C">
        <w:rPr>
          <w:bCs/>
          <w:szCs w:val="20"/>
        </w:rPr>
        <w:t xml:space="preserve"> R</w:t>
      </w:r>
      <w:r>
        <w:rPr>
          <w:bCs/>
          <w:szCs w:val="20"/>
        </w:rPr>
        <w:t xml:space="preserve">PPS adotará medidas para honrar os compromissos </w:t>
      </w:r>
      <w:r w:rsidRPr="006E7D1C">
        <w:rPr>
          <w:bCs/>
          <w:szCs w:val="20"/>
        </w:rPr>
        <w:t xml:space="preserve">estabelecidos no plano de custeio </w:t>
      </w:r>
      <w:r w:rsidRPr="006E7D1C">
        <w:rPr>
          <w:bCs/>
          <w:szCs w:val="20"/>
          <w:highlight w:val="yellow"/>
        </w:rPr>
        <w:t>e/ou</w:t>
      </w:r>
      <w:r w:rsidRPr="006E7D1C">
        <w:rPr>
          <w:bCs/>
          <w:szCs w:val="20"/>
        </w:rPr>
        <w:t xml:space="preserve"> segregação de massa, além da adequação do plano de custeio sobre a capac</w:t>
      </w:r>
      <w:r>
        <w:rPr>
          <w:bCs/>
          <w:szCs w:val="20"/>
        </w:rPr>
        <w:t>idade orçamentaria e financeira.</w:t>
      </w:r>
    </w:p>
    <w:p w14:paraId="6C719E96" w14:textId="3667FCEF" w:rsidR="0064064B" w:rsidRPr="00802C34" w:rsidRDefault="0064064B" w:rsidP="0064064B">
      <w:r w:rsidRPr="000E405B">
        <w:t xml:space="preserve">Para isso será implementado um estudo </w:t>
      </w:r>
      <w:r>
        <w:t xml:space="preserve">para avaliar o equilíbrio econômico e financeiro </w:t>
      </w:r>
      <w:r w:rsidRPr="000E405B">
        <w:t>(conforme exposto no Anexo VI da Portaria 1</w:t>
      </w:r>
      <w:r w:rsidR="00142CA0">
        <w:t>.</w:t>
      </w:r>
      <w:r w:rsidRPr="000E405B">
        <w:t>467/22)</w:t>
      </w:r>
      <w:r>
        <w:t xml:space="preserve">. </w:t>
      </w:r>
      <w:r w:rsidRPr="000E405B">
        <w:t>Ademais</w:t>
      </w:r>
      <w:r>
        <w:t xml:space="preserve"> o RPPS terá um acompanhamento das informações referente </w:t>
      </w:r>
      <w:r w:rsidRPr="000E405B">
        <w:t>aos seus demonstrativos, devendo ser encaminhada aos órgãos de controle interno e externo com o objetivo de subsidiar a análise de capacidade orçamentá</w:t>
      </w:r>
      <w:r>
        <w:t>ria, financeira e fiscal, visando honrar com as obrigações presentes e futuras do RPPS.</w:t>
      </w:r>
    </w:p>
    <w:p w14:paraId="580A6A24" w14:textId="3A5D5CD5" w:rsidR="008815C6" w:rsidRPr="00062581" w:rsidRDefault="008815C6" w:rsidP="005222CD"/>
    <w:p w14:paraId="2296BBE6" w14:textId="77777777" w:rsidR="006B0FB7" w:rsidRPr="00516AB2" w:rsidRDefault="006B0FB7" w:rsidP="005222CD">
      <w:pPr>
        <w:pStyle w:val="Ttulo1"/>
        <w:spacing w:before="360"/>
      </w:pPr>
      <w:bookmarkStart w:id="106" w:name="_Toc435189696"/>
      <w:bookmarkStart w:id="107" w:name="_Toc435202754"/>
      <w:bookmarkStart w:id="108" w:name="_Toc490036560"/>
      <w:bookmarkStart w:id="109" w:name="_Toc118105154"/>
      <w:r w:rsidRPr="00516AB2">
        <w:t>P</w:t>
      </w:r>
      <w:bookmarkEnd w:id="106"/>
      <w:r w:rsidRPr="00516AB2">
        <w:t>OLÍTICA DE TRANSPARÊNCIA</w:t>
      </w:r>
      <w:bookmarkEnd w:id="107"/>
      <w:bookmarkEnd w:id="108"/>
      <w:bookmarkEnd w:id="109"/>
    </w:p>
    <w:p w14:paraId="0984A814" w14:textId="2F7ED654" w:rsidR="008121B4" w:rsidRPr="00616936" w:rsidRDefault="00EB1632" w:rsidP="005222CD">
      <w:r w:rsidRPr="00616936">
        <w:t xml:space="preserve">Conforme a </w:t>
      </w:r>
      <w:r w:rsidR="003B54AF" w:rsidRPr="00616936">
        <w:t>P</w:t>
      </w:r>
      <w:r w:rsidRPr="00616936">
        <w:t>ortaria</w:t>
      </w:r>
      <w:r w:rsidR="003B54AF" w:rsidRPr="00616936">
        <w:t xml:space="preserve"> </w:t>
      </w:r>
      <w:r w:rsidRPr="00616936">
        <w:t>nº 1.467/2022, a</w:t>
      </w:r>
      <w:r w:rsidR="006B0FB7" w:rsidRPr="00616936">
        <w:t xml:space="preserve">s informações contidas </w:t>
      </w:r>
      <w:r w:rsidR="007E39ED" w:rsidRPr="00616936">
        <w:t>ne</w:t>
      </w:r>
      <w:r w:rsidR="001C244B" w:rsidRPr="00616936">
        <w:t>ssa</w:t>
      </w:r>
      <w:r w:rsidR="006B0FB7" w:rsidRPr="00616936">
        <w:t xml:space="preserve"> Política de Investimentos e em suas</w:t>
      </w:r>
      <w:r w:rsidR="007E39ED" w:rsidRPr="00616936">
        <w:t xml:space="preserve"> </w:t>
      </w:r>
      <w:r w:rsidR="001C244B" w:rsidRPr="00616936">
        <w:t xml:space="preserve">possíveis </w:t>
      </w:r>
      <w:r w:rsidR="006B0FB7" w:rsidRPr="00616936">
        <w:t xml:space="preserve">revisões deverão ser disponibilizadas aos interessados, no prazo de </w:t>
      </w:r>
      <w:r w:rsidR="008121B4" w:rsidRPr="00616936">
        <w:t>30 (</w:t>
      </w:r>
      <w:r w:rsidR="006B0FB7" w:rsidRPr="00616936">
        <w:t>trinta</w:t>
      </w:r>
      <w:r w:rsidR="008121B4" w:rsidRPr="00616936">
        <w:t>)</w:t>
      </w:r>
      <w:r w:rsidR="006B0FB7" w:rsidRPr="00616936">
        <w:t xml:space="preserve"> dias contados de sua aprovação, observados os critérios estabelecidos </w:t>
      </w:r>
      <w:r w:rsidR="00E2669A" w:rsidRPr="00616936">
        <w:t>através dos atos normativos vigentes</w:t>
      </w:r>
      <w:r w:rsidR="006B0FB7" w:rsidRPr="00616936">
        <w:t>.</w:t>
      </w:r>
    </w:p>
    <w:p w14:paraId="5DE00E48" w14:textId="2ABF73FE" w:rsidR="00EB1632" w:rsidRPr="00616936" w:rsidRDefault="006B0FB7" w:rsidP="005222CD">
      <w:r w:rsidRPr="00616936">
        <w:t>À vista da exigência contida no art. 4º, incisos I, II, III</w:t>
      </w:r>
      <w:r w:rsidR="00E51512" w:rsidRPr="00616936">
        <w:t xml:space="preserve">, </w:t>
      </w:r>
      <w:r w:rsidRPr="00616936">
        <w:t xml:space="preserve">IV e </w:t>
      </w:r>
      <w:r w:rsidR="00E51512" w:rsidRPr="00616936">
        <w:t>V</w:t>
      </w:r>
      <w:r w:rsidRPr="00616936">
        <w:t>, parágrafo primeiro e segundo e ainda, art. 5º da Resolução CMN nº</w:t>
      </w:r>
      <w:r w:rsidR="00E2669A" w:rsidRPr="00616936">
        <w:t xml:space="preserve"> 4.963/2021</w:t>
      </w:r>
      <w:r w:rsidRPr="00616936">
        <w:t xml:space="preserve">, a Política de Investimentos deverá ser disponibilizada no site do </w:t>
      </w:r>
      <w:r w:rsidR="00163DF1">
        <w:rPr>
          <w:b/>
          <w:bCs/>
          <w:color w:val="000000" w:themeColor="text1"/>
          <w:szCs w:val="20"/>
        </w:rPr>
        <w:t>MUNICÍ</w:t>
      </w:r>
      <w:r w:rsidR="00163DF1" w:rsidRPr="006053F5">
        <w:rPr>
          <w:b/>
          <w:bCs/>
          <w:color w:val="000000" w:themeColor="text1"/>
          <w:szCs w:val="20"/>
        </w:rPr>
        <w:t>PIO</w:t>
      </w:r>
      <w:r w:rsidR="00163DF1" w:rsidRPr="00716D43">
        <w:rPr>
          <w:b/>
          <w:color w:val="000000" w:themeColor="text1"/>
        </w:rPr>
        <w:t xml:space="preserve"> </w:t>
      </w:r>
      <w:r w:rsidR="00A54E10" w:rsidRPr="00716D43">
        <w:rPr>
          <w:b/>
          <w:color w:val="000000" w:themeColor="text1"/>
        </w:rPr>
        <w:t>DE GUARACI</w:t>
      </w:r>
      <w:r w:rsidRPr="00616936">
        <w:t>, Diário Oficial do Município ou em local de fácil acesso e visualização, sem prejuízo de outros canais oficiais de comunicação.</w:t>
      </w:r>
    </w:p>
    <w:p w14:paraId="48769245" w14:textId="2328A774" w:rsidR="007C2C43" w:rsidRPr="00616936" w:rsidRDefault="007C2C43" w:rsidP="005222CD">
      <w:r w:rsidRPr="00616936">
        <w:t>Todos e demais documentos correspondentes a análise, avaliação, gerenciamento, assessoramento e decisão, deverão ser disponibilizados via Porta</w:t>
      </w:r>
      <w:r w:rsidR="00EB1632" w:rsidRPr="00616936">
        <w:t>l</w:t>
      </w:r>
      <w:r w:rsidRPr="00616936">
        <w:t xml:space="preserve"> de Transparência de própria autoria ou na melhor qualidade de disponibilização aos interessados.</w:t>
      </w:r>
    </w:p>
    <w:p w14:paraId="7486CDB5" w14:textId="69ACD239" w:rsidR="008815C6" w:rsidRPr="00516AB2" w:rsidRDefault="008815C6" w:rsidP="005222CD"/>
    <w:p w14:paraId="728E9A9A" w14:textId="290D3DB2" w:rsidR="006B0FB7" w:rsidRPr="00516AB2" w:rsidRDefault="006B0FB7" w:rsidP="005222CD">
      <w:pPr>
        <w:pStyle w:val="Ttulo1"/>
        <w:spacing w:before="360"/>
      </w:pPr>
      <w:bookmarkStart w:id="110" w:name="_Toc435189697"/>
      <w:bookmarkStart w:id="111" w:name="_Toc435202755"/>
      <w:bookmarkStart w:id="112" w:name="_Toc490036561"/>
      <w:bookmarkStart w:id="113" w:name="_Toc118105155"/>
      <w:r w:rsidRPr="00516AB2">
        <w:lastRenderedPageBreak/>
        <w:t>CREDENCIAMENTO</w:t>
      </w:r>
      <w:bookmarkEnd w:id="110"/>
      <w:bookmarkEnd w:id="111"/>
      <w:bookmarkEnd w:id="112"/>
      <w:bookmarkEnd w:id="113"/>
    </w:p>
    <w:p w14:paraId="63CDFDE7" w14:textId="59489E72" w:rsidR="006B0FB7" w:rsidRPr="00671E7A" w:rsidRDefault="006B0FB7" w:rsidP="005222CD">
      <w:pPr>
        <w:rPr>
          <w:bCs/>
          <w:szCs w:val="20"/>
        </w:rPr>
      </w:pPr>
      <w:r w:rsidRPr="00671E7A">
        <w:rPr>
          <w:bCs/>
          <w:szCs w:val="20"/>
        </w:rPr>
        <w:t xml:space="preserve">Seguindo a Portaria nº </w:t>
      </w:r>
      <w:r w:rsidR="00FB6877" w:rsidRPr="00671E7A">
        <w:rPr>
          <w:bCs/>
          <w:szCs w:val="20"/>
        </w:rPr>
        <w:t>1.467</w:t>
      </w:r>
      <w:r w:rsidR="009433C8" w:rsidRPr="00671E7A">
        <w:rPr>
          <w:bCs/>
          <w:szCs w:val="20"/>
        </w:rPr>
        <w:t>/</w:t>
      </w:r>
      <w:r w:rsidR="00774B2A" w:rsidRPr="00671E7A">
        <w:rPr>
          <w:bCs/>
          <w:szCs w:val="20"/>
        </w:rPr>
        <w:t>2022 que</w:t>
      </w:r>
      <w:r w:rsidR="00FB6877" w:rsidRPr="00671E7A">
        <w:rPr>
          <w:bCs/>
          <w:szCs w:val="20"/>
        </w:rPr>
        <w:t xml:space="preserve"> </w:t>
      </w:r>
      <w:r w:rsidR="00DF05BF" w:rsidRPr="00671E7A">
        <w:rPr>
          <w:bCs/>
          <w:szCs w:val="20"/>
        </w:rPr>
        <w:t xml:space="preserve">determina que </w:t>
      </w:r>
      <w:r w:rsidRPr="00671E7A">
        <w:rPr>
          <w:bCs/>
          <w:szCs w:val="20"/>
        </w:rPr>
        <w:t xml:space="preserve">antes da realização de qualquer </w:t>
      </w:r>
      <w:r w:rsidR="00AA5C51" w:rsidRPr="00671E7A">
        <w:rPr>
          <w:bCs/>
          <w:szCs w:val="20"/>
        </w:rPr>
        <w:t>novo aporte</w:t>
      </w:r>
      <w:r w:rsidRPr="00671E7A">
        <w:rPr>
          <w:bCs/>
          <w:szCs w:val="20"/>
        </w:rPr>
        <w:t xml:space="preserve">, o </w:t>
      </w:r>
      <w:r w:rsidR="00163DF1">
        <w:rPr>
          <w:b/>
          <w:bCs/>
          <w:color w:val="000000" w:themeColor="text1"/>
          <w:szCs w:val="20"/>
        </w:rPr>
        <w:t>MUNICÍ</w:t>
      </w:r>
      <w:r w:rsidR="00163DF1" w:rsidRPr="006053F5">
        <w:rPr>
          <w:b/>
          <w:bCs/>
          <w:color w:val="000000" w:themeColor="text1"/>
          <w:szCs w:val="20"/>
        </w:rPr>
        <w:t>PIO</w:t>
      </w:r>
      <w:r w:rsidR="00163DF1" w:rsidRPr="00716D43">
        <w:rPr>
          <w:b/>
          <w:color w:val="000000" w:themeColor="text1"/>
        </w:rPr>
        <w:t xml:space="preserve"> </w:t>
      </w:r>
      <w:r w:rsidR="00A54E10" w:rsidRPr="00716D43">
        <w:rPr>
          <w:b/>
          <w:color w:val="000000" w:themeColor="text1"/>
        </w:rPr>
        <w:t>DE GUARACI</w:t>
      </w:r>
      <w:r w:rsidRPr="00671E7A">
        <w:rPr>
          <w:bCs/>
          <w:szCs w:val="20"/>
        </w:rPr>
        <w:t>,</w:t>
      </w:r>
      <w:r w:rsidR="00D11EC2" w:rsidRPr="00671E7A">
        <w:rPr>
          <w:bCs/>
          <w:szCs w:val="20"/>
        </w:rPr>
        <w:t xml:space="preserve"> </w:t>
      </w:r>
      <w:r w:rsidR="00AA5C51" w:rsidRPr="00671E7A">
        <w:rPr>
          <w:bCs/>
          <w:szCs w:val="20"/>
        </w:rPr>
        <w:t>na figura de</w:t>
      </w:r>
      <w:r w:rsidR="00130CF9" w:rsidRPr="00671E7A">
        <w:rPr>
          <w:bCs/>
          <w:szCs w:val="20"/>
        </w:rPr>
        <w:t xml:space="preserve"> </w:t>
      </w:r>
      <w:r w:rsidRPr="00671E7A">
        <w:rPr>
          <w:bCs/>
          <w:szCs w:val="20"/>
        </w:rPr>
        <w:t xml:space="preserve">seu Comitê de Investimentos, deverá assegurar que as </w:t>
      </w:r>
      <w:r w:rsidR="00AA5C51" w:rsidRPr="00671E7A">
        <w:rPr>
          <w:bCs/>
          <w:szCs w:val="20"/>
        </w:rPr>
        <w:t>Instituições Financeiras</w:t>
      </w:r>
      <w:r w:rsidRPr="00671E7A">
        <w:rPr>
          <w:bCs/>
          <w:szCs w:val="20"/>
        </w:rPr>
        <w:t xml:space="preserve"> escolhidas para receber </w:t>
      </w:r>
      <w:r w:rsidR="00CC31B1" w:rsidRPr="00671E7A">
        <w:rPr>
          <w:bCs/>
          <w:szCs w:val="20"/>
        </w:rPr>
        <w:t>as aplicações dos</w:t>
      </w:r>
      <w:r w:rsidR="00AA5C51" w:rsidRPr="00671E7A">
        <w:rPr>
          <w:bCs/>
          <w:szCs w:val="20"/>
        </w:rPr>
        <w:t xml:space="preserve"> </w:t>
      </w:r>
      <w:r w:rsidR="00230737" w:rsidRPr="00671E7A">
        <w:rPr>
          <w:bCs/>
          <w:szCs w:val="20"/>
        </w:rPr>
        <w:t>recursos</w:t>
      </w:r>
      <w:r w:rsidR="00D11EC2" w:rsidRPr="00671E7A" w:rsidDel="00D11EC2">
        <w:rPr>
          <w:bCs/>
          <w:szCs w:val="20"/>
        </w:rPr>
        <w:t xml:space="preserve"> </w:t>
      </w:r>
      <w:r w:rsidRPr="00671E7A">
        <w:rPr>
          <w:bCs/>
          <w:szCs w:val="20"/>
        </w:rPr>
        <w:t>tenham sido objeto de prévio credenciamento.</w:t>
      </w:r>
    </w:p>
    <w:p w14:paraId="77532CF3" w14:textId="73AAEAD0" w:rsidR="00F242C9" w:rsidRDefault="00CC31B1" w:rsidP="005222CD">
      <w:pPr>
        <w:rPr>
          <w:bCs/>
          <w:szCs w:val="20"/>
        </w:rPr>
      </w:pPr>
      <w:r w:rsidRPr="00671E7A">
        <w:rPr>
          <w:bCs/>
          <w:szCs w:val="20"/>
        </w:rPr>
        <w:t xml:space="preserve">Complementarmente, a </w:t>
      </w:r>
      <w:r w:rsidR="00D9259A" w:rsidRPr="00671E7A">
        <w:rPr>
          <w:bCs/>
          <w:szCs w:val="20"/>
        </w:rPr>
        <w:t xml:space="preserve">própria </w:t>
      </w:r>
      <w:r w:rsidRPr="00671E7A">
        <w:rPr>
          <w:bCs/>
          <w:szCs w:val="20"/>
        </w:rPr>
        <w:t xml:space="preserve">Resolução CMN nº </w:t>
      </w:r>
      <w:r w:rsidR="009433C8" w:rsidRPr="00671E7A">
        <w:rPr>
          <w:bCs/>
          <w:szCs w:val="20"/>
        </w:rPr>
        <w:t>4.963/2021</w:t>
      </w:r>
      <w:r w:rsidR="00D9259A" w:rsidRPr="00671E7A">
        <w:rPr>
          <w:bCs/>
          <w:szCs w:val="20"/>
        </w:rPr>
        <w:t xml:space="preserve"> em seu Art. </w:t>
      </w:r>
      <w:r w:rsidR="00F242C9" w:rsidRPr="00671E7A">
        <w:rPr>
          <w:bCs/>
          <w:szCs w:val="20"/>
        </w:rPr>
        <w:t>1º, §1º, inciso VI</w:t>
      </w:r>
      <w:r w:rsidR="002F0B39" w:rsidRPr="00671E7A">
        <w:rPr>
          <w:bCs/>
          <w:szCs w:val="20"/>
        </w:rPr>
        <w:t xml:space="preserve"> e §3º</w:t>
      </w:r>
      <w:r w:rsidR="00826B05" w:rsidRPr="00671E7A">
        <w:rPr>
          <w:bCs/>
          <w:szCs w:val="20"/>
        </w:rPr>
        <w:t>,</w:t>
      </w:r>
      <w:r w:rsidR="00F242C9" w:rsidRPr="00671E7A">
        <w:rPr>
          <w:bCs/>
          <w:szCs w:val="20"/>
        </w:rPr>
        <w:t xml:space="preserve"> </w:t>
      </w:r>
      <w:r w:rsidR="003B13E4" w:rsidRPr="00671E7A">
        <w:rPr>
          <w:bCs/>
          <w:szCs w:val="20"/>
        </w:rPr>
        <w:t xml:space="preserve">determina </w:t>
      </w:r>
      <w:r w:rsidR="00693AC8" w:rsidRPr="00671E7A">
        <w:rPr>
          <w:bCs/>
          <w:szCs w:val="20"/>
        </w:rPr>
        <w:t>que as Instituições Financeiras escolhidas para receber as aplicações dos recursos</w:t>
      </w:r>
      <w:r w:rsidR="004B5BDA">
        <w:rPr>
          <w:bCs/>
          <w:szCs w:val="20"/>
        </w:rPr>
        <w:t xml:space="preserve"> deverão passar pelo prévio credenciamento. Adiciona ainda o </w:t>
      </w:r>
      <w:r w:rsidR="00F242C9" w:rsidRPr="00F242C9">
        <w:rPr>
          <w:bCs/>
          <w:szCs w:val="20"/>
        </w:rPr>
        <w:t>acompanhamento e a avaliação do gestor e do</w:t>
      </w:r>
      <w:r w:rsidR="004B5BDA">
        <w:rPr>
          <w:bCs/>
          <w:szCs w:val="20"/>
        </w:rPr>
        <w:t xml:space="preserve"> </w:t>
      </w:r>
      <w:r w:rsidR="00F242C9" w:rsidRPr="00F242C9">
        <w:rPr>
          <w:bCs/>
          <w:szCs w:val="20"/>
        </w:rPr>
        <w:t>administrador dos fundos de investimento</w:t>
      </w:r>
      <w:r w:rsidR="00046A88">
        <w:rPr>
          <w:bCs/>
          <w:szCs w:val="20"/>
        </w:rPr>
        <w:t>.</w:t>
      </w:r>
    </w:p>
    <w:p w14:paraId="72BB80D2" w14:textId="1CC79C16" w:rsidR="00230737" w:rsidRDefault="00046A88" w:rsidP="005222CD">
      <w:r>
        <w:rPr>
          <w:bCs/>
          <w:szCs w:val="20"/>
        </w:rPr>
        <w:t xml:space="preserve">Considerando todas as exigências, o </w:t>
      </w:r>
      <w:r w:rsidR="00163DF1">
        <w:rPr>
          <w:b/>
          <w:bCs/>
          <w:color w:val="000000" w:themeColor="text1"/>
          <w:szCs w:val="20"/>
        </w:rPr>
        <w:t>MUNICÍ</w:t>
      </w:r>
      <w:r w:rsidR="00163DF1" w:rsidRPr="006053F5">
        <w:rPr>
          <w:b/>
          <w:bCs/>
          <w:color w:val="000000" w:themeColor="text1"/>
          <w:szCs w:val="20"/>
        </w:rPr>
        <w:t>PIO</w:t>
      </w:r>
      <w:r w:rsidR="00163DF1" w:rsidRPr="00716D43">
        <w:rPr>
          <w:b/>
          <w:color w:val="000000" w:themeColor="text1"/>
        </w:rPr>
        <w:t xml:space="preserve"> </w:t>
      </w:r>
      <w:r w:rsidR="00A54E10" w:rsidRPr="00716D43">
        <w:rPr>
          <w:b/>
          <w:color w:val="000000" w:themeColor="text1"/>
        </w:rPr>
        <w:t>DE GUARACI</w:t>
      </w:r>
      <w:r w:rsidR="00A66348">
        <w:rPr>
          <w:bCs/>
          <w:szCs w:val="20"/>
        </w:rPr>
        <w:t xml:space="preserve">, </w:t>
      </w:r>
      <w:r w:rsidR="00230737" w:rsidRPr="00A52F9F">
        <w:t xml:space="preserve">através de seu Edital de Credenciamento, </w:t>
      </w:r>
      <w:r w:rsidR="000B2538">
        <w:t xml:space="preserve">deverá </w:t>
      </w:r>
      <w:r w:rsidR="00120E1C">
        <w:t>atestar o cumprimento</w:t>
      </w:r>
      <w:r w:rsidR="00230737" w:rsidRPr="00A52F9F">
        <w:t xml:space="preserve"> </w:t>
      </w:r>
      <w:r w:rsidR="00230737" w:rsidRPr="00EA2DE2">
        <w:t xml:space="preserve">integral </w:t>
      </w:r>
      <w:r w:rsidR="00801663" w:rsidRPr="00EA2DE2">
        <w:t xml:space="preserve">de </w:t>
      </w:r>
      <w:r w:rsidR="00230737" w:rsidRPr="00EA2DE2">
        <w:t>todos</w:t>
      </w:r>
      <w:r w:rsidR="00230737" w:rsidRPr="00A52F9F">
        <w:t xml:space="preserve"> os </w:t>
      </w:r>
      <w:r w:rsidR="00230737" w:rsidRPr="00111965">
        <w:rPr>
          <w:b/>
          <w:bCs/>
        </w:rPr>
        <w:t>requisitos mínimos</w:t>
      </w:r>
      <w:r w:rsidR="00230737" w:rsidRPr="00A52F9F">
        <w:t xml:space="preserve"> de credenciamento</w:t>
      </w:r>
      <w:r w:rsidR="004C081F" w:rsidRPr="00A52F9F">
        <w:t>,</w:t>
      </w:r>
      <w:r w:rsidR="00230737" w:rsidRPr="00A52F9F">
        <w:t xml:space="preserve"> inclusive:</w:t>
      </w:r>
    </w:p>
    <w:p w14:paraId="3B5B3D05" w14:textId="2609C0AE" w:rsidR="005222CD" w:rsidRDefault="00DA628A" w:rsidP="005222CD">
      <w:pPr>
        <w:pStyle w:val="PargrafodaLista"/>
        <w:numPr>
          <w:ilvl w:val="0"/>
          <w:numId w:val="38"/>
        </w:numPr>
        <w:rPr>
          <w:bCs/>
          <w:szCs w:val="20"/>
        </w:rPr>
      </w:pPr>
      <w:proofErr w:type="gramStart"/>
      <w:r w:rsidRPr="005222CD">
        <w:rPr>
          <w:bCs/>
          <w:szCs w:val="20"/>
        </w:rPr>
        <w:t>atos</w:t>
      </w:r>
      <w:proofErr w:type="gramEnd"/>
      <w:r w:rsidRPr="005222CD">
        <w:rPr>
          <w:bCs/>
          <w:szCs w:val="20"/>
        </w:rPr>
        <w:t xml:space="preserve"> de registro ou autorização </w:t>
      </w:r>
      <w:r w:rsidR="00E344CD">
        <w:rPr>
          <w:bCs/>
          <w:szCs w:val="20"/>
        </w:rPr>
        <w:t xml:space="preserve">na forma do §1º e inexistência de suspensão ou inabilitação </w:t>
      </w:r>
      <w:r w:rsidRPr="005222CD">
        <w:rPr>
          <w:bCs/>
          <w:szCs w:val="20"/>
        </w:rPr>
        <w:t>pelo Banco Central do Brasil ou Comissão de Valores Mobiliários ou órgão competente;</w:t>
      </w:r>
    </w:p>
    <w:p w14:paraId="6ECBA971" w14:textId="77777777" w:rsidR="005222CD" w:rsidRDefault="005222CD" w:rsidP="005222CD">
      <w:pPr>
        <w:pStyle w:val="PargrafodaLista"/>
        <w:rPr>
          <w:bCs/>
          <w:szCs w:val="20"/>
        </w:rPr>
      </w:pPr>
    </w:p>
    <w:p w14:paraId="0240FA00" w14:textId="5F31A33C" w:rsidR="005222CD" w:rsidRDefault="00E344CD" w:rsidP="005222CD">
      <w:pPr>
        <w:pStyle w:val="PargrafodaLista"/>
        <w:numPr>
          <w:ilvl w:val="0"/>
          <w:numId w:val="38"/>
        </w:numPr>
        <w:rPr>
          <w:bCs/>
          <w:szCs w:val="20"/>
        </w:rPr>
      </w:pPr>
      <w:proofErr w:type="gramStart"/>
      <w:r>
        <w:rPr>
          <w:bCs/>
          <w:szCs w:val="20"/>
        </w:rPr>
        <w:t>observância</w:t>
      </w:r>
      <w:proofErr w:type="gramEnd"/>
      <w:r>
        <w:rPr>
          <w:bCs/>
          <w:szCs w:val="20"/>
        </w:rPr>
        <w:t xml:space="preserve"> de </w:t>
      </w:r>
      <w:r w:rsidR="00DA628A" w:rsidRPr="005222CD">
        <w:rPr>
          <w:bCs/>
          <w:szCs w:val="20"/>
        </w:rPr>
        <w:t xml:space="preserve">elevado padrão ético de conduta nas operações realizadas no mercado financeiro e ausência de restrições que, a critério do Banco Central do Brasil, da Comissão de Valores Mobiliários ou de outros órgãos competentes desaconselhem um relacionamento seguro </w:t>
      </w:r>
    </w:p>
    <w:p w14:paraId="11C3846E" w14:textId="77777777" w:rsidR="005222CD" w:rsidRPr="005222CD" w:rsidRDefault="005222CD" w:rsidP="005222CD">
      <w:pPr>
        <w:pStyle w:val="PargrafodaLista"/>
        <w:rPr>
          <w:bCs/>
          <w:szCs w:val="20"/>
        </w:rPr>
      </w:pPr>
    </w:p>
    <w:p w14:paraId="17E25434" w14:textId="77777777" w:rsidR="00E344CD" w:rsidRDefault="00E344CD" w:rsidP="005222CD">
      <w:pPr>
        <w:pStyle w:val="PargrafodaLista"/>
        <w:numPr>
          <w:ilvl w:val="0"/>
          <w:numId w:val="38"/>
        </w:numPr>
        <w:rPr>
          <w:bCs/>
          <w:szCs w:val="20"/>
        </w:rPr>
      </w:pPr>
      <w:proofErr w:type="gramStart"/>
      <w:r>
        <w:rPr>
          <w:bCs/>
          <w:szCs w:val="20"/>
        </w:rPr>
        <w:t>análise</w:t>
      </w:r>
      <w:proofErr w:type="gramEnd"/>
      <w:r>
        <w:rPr>
          <w:bCs/>
          <w:szCs w:val="20"/>
        </w:rPr>
        <w:t xml:space="preserve"> do histórico de sua atuação e de seus principais controladores </w:t>
      </w:r>
    </w:p>
    <w:p w14:paraId="04EF542C" w14:textId="77777777" w:rsidR="00E344CD" w:rsidRPr="00712962" w:rsidRDefault="00E344CD" w:rsidP="00276EFD">
      <w:pPr>
        <w:pStyle w:val="PargrafodaLista"/>
        <w:rPr>
          <w:bCs/>
          <w:szCs w:val="20"/>
        </w:rPr>
      </w:pPr>
    </w:p>
    <w:p w14:paraId="3535DCF6" w14:textId="77777777" w:rsidR="0055584C" w:rsidRDefault="00E344CD" w:rsidP="005222CD">
      <w:pPr>
        <w:pStyle w:val="PargrafodaLista"/>
        <w:numPr>
          <w:ilvl w:val="0"/>
          <w:numId w:val="38"/>
        </w:numPr>
        <w:rPr>
          <w:bCs/>
          <w:szCs w:val="20"/>
        </w:rPr>
      </w:pPr>
      <w:proofErr w:type="gramStart"/>
      <w:r>
        <w:rPr>
          <w:bCs/>
          <w:szCs w:val="20"/>
        </w:rPr>
        <w:t>experiência</w:t>
      </w:r>
      <w:proofErr w:type="gramEnd"/>
      <w:r>
        <w:rPr>
          <w:bCs/>
          <w:szCs w:val="20"/>
        </w:rPr>
        <w:t xml:space="preserve"> mínima de 5 anos dos profissionais diretamente relacionados à gestão </w:t>
      </w:r>
      <w:r w:rsidR="0055584C">
        <w:rPr>
          <w:bCs/>
          <w:szCs w:val="20"/>
        </w:rPr>
        <w:t>de ativos de terceiros; e</w:t>
      </w:r>
    </w:p>
    <w:p w14:paraId="0B014592" w14:textId="77777777" w:rsidR="0055584C" w:rsidRPr="00712962" w:rsidRDefault="0055584C" w:rsidP="00276EFD">
      <w:pPr>
        <w:pStyle w:val="PargrafodaLista"/>
        <w:rPr>
          <w:bCs/>
          <w:szCs w:val="20"/>
        </w:rPr>
      </w:pPr>
    </w:p>
    <w:p w14:paraId="63EFC06B" w14:textId="0E500E57" w:rsidR="00DA628A" w:rsidRDefault="0055584C" w:rsidP="005222CD">
      <w:pPr>
        <w:pStyle w:val="PargrafodaLista"/>
        <w:numPr>
          <w:ilvl w:val="0"/>
          <w:numId w:val="38"/>
        </w:numPr>
        <w:rPr>
          <w:bCs/>
          <w:szCs w:val="20"/>
        </w:rPr>
      </w:pPr>
      <w:proofErr w:type="gramStart"/>
      <w:r>
        <w:rPr>
          <w:bCs/>
          <w:szCs w:val="20"/>
        </w:rPr>
        <w:t>análise</w:t>
      </w:r>
      <w:proofErr w:type="gramEnd"/>
      <w:r>
        <w:rPr>
          <w:bCs/>
          <w:szCs w:val="20"/>
        </w:rPr>
        <w:t xml:space="preserve"> quanto ao volume de recursos sob sua gestão e administração, bem como quanto a qualificaç</w:t>
      </w:r>
      <w:r w:rsidR="00A03335">
        <w:rPr>
          <w:bCs/>
          <w:szCs w:val="20"/>
        </w:rPr>
        <w:t>ão do corpo técnico e segregação de atividades.</w:t>
      </w:r>
    </w:p>
    <w:p w14:paraId="401E9640" w14:textId="77777777" w:rsidR="006A6E0B" w:rsidRPr="0076765F" w:rsidRDefault="006A6E0B" w:rsidP="00671E7A">
      <w:pPr>
        <w:pStyle w:val="PargrafodaLista"/>
        <w:rPr>
          <w:bCs/>
          <w:szCs w:val="20"/>
        </w:rPr>
      </w:pPr>
    </w:p>
    <w:p w14:paraId="0E4538BE" w14:textId="207E089B" w:rsidR="006A6E0B" w:rsidRPr="00397EA1" w:rsidRDefault="006A6E0B" w:rsidP="00671E7A">
      <w:pPr>
        <w:rPr>
          <w:bCs/>
          <w:szCs w:val="20"/>
        </w:rPr>
      </w:pPr>
      <w:r w:rsidRPr="00397EA1">
        <w:rPr>
          <w:bCs/>
          <w:szCs w:val="20"/>
        </w:rPr>
        <w:t xml:space="preserve">Deverá ser realizado o credenciamento das corretoras ou distribuidoras de títulos e valores mobiliários que tenham relação com operações diretas com título de emissão do Tesouro Nacional que forem registradas no Sistema Especial de Liquidação e Custódia – SELIC. </w:t>
      </w:r>
    </w:p>
    <w:p w14:paraId="73CC3EFA" w14:textId="77777777" w:rsidR="006A6E0B" w:rsidRPr="00397EA1" w:rsidRDefault="006A6E0B" w:rsidP="005222CD">
      <w:pPr>
        <w:rPr>
          <w:bCs/>
          <w:szCs w:val="20"/>
        </w:rPr>
      </w:pPr>
      <w:r w:rsidRPr="00397EA1">
        <w:rPr>
          <w:bCs/>
          <w:szCs w:val="20"/>
        </w:rPr>
        <w:t xml:space="preserve">A conclusão da análise das informações e da verificação dos requisitos estabelecidos para o credenciamento, deverá ser registrada em um Termo de Credenciamento, este que deverá observar os seguintes requisitos: </w:t>
      </w:r>
    </w:p>
    <w:p w14:paraId="22807382" w14:textId="572A63AC" w:rsidR="006A6E0B" w:rsidRPr="00397EA1" w:rsidRDefault="00387DC9" w:rsidP="00671E7A">
      <w:pPr>
        <w:pStyle w:val="PargrafodaLista"/>
        <w:numPr>
          <w:ilvl w:val="0"/>
          <w:numId w:val="68"/>
        </w:numPr>
        <w:rPr>
          <w:bCs/>
          <w:szCs w:val="20"/>
        </w:rPr>
      </w:pPr>
      <w:r w:rsidRPr="00397EA1">
        <w:rPr>
          <w:bCs/>
          <w:szCs w:val="20"/>
        </w:rPr>
        <w:t>E</w:t>
      </w:r>
      <w:r w:rsidR="006A6E0B" w:rsidRPr="00397EA1">
        <w:rPr>
          <w:bCs/>
          <w:szCs w:val="20"/>
        </w:rPr>
        <w:t xml:space="preserve">star embasado nos formulários de diligência previstos em códigos de </w:t>
      </w:r>
      <w:proofErr w:type="spellStart"/>
      <w:r w:rsidR="006A6E0B" w:rsidRPr="00397EA1">
        <w:rPr>
          <w:bCs/>
          <w:szCs w:val="20"/>
        </w:rPr>
        <w:t>autorregulação</w:t>
      </w:r>
      <w:proofErr w:type="spellEnd"/>
      <w:r w:rsidR="006A6E0B" w:rsidRPr="00397EA1">
        <w:rPr>
          <w:bCs/>
          <w:szCs w:val="20"/>
        </w:rPr>
        <w:t xml:space="preserve"> relativos à administração de recursos de terceiros, disponibilizados por entidade representativa dos participantes do mercado financeiro e de capitais que possua convênio com a CVM para aproveitamento de </w:t>
      </w:r>
      <w:proofErr w:type="spellStart"/>
      <w:r w:rsidR="006A6E0B" w:rsidRPr="00397EA1">
        <w:rPr>
          <w:bCs/>
          <w:szCs w:val="20"/>
        </w:rPr>
        <w:t>autorregulação</w:t>
      </w:r>
      <w:proofErr w:type="spellEnd"/>
      <w:r w:rsidR="006A6E0B" w:rsidRPr="00397EA1">
        <w:rPr>
          <w:bCs/>
          <w:szCs w:val="20"/>
        </w:rPr>
        <w:t xml:space="preserve"> na indústria de fundos de investimento;</w:t>
      </w:r>
    </w:p>
    <w:p w14:paraId="219A26A5" w14:textId="1718BE56" w:rsidR="006A6E0B" w:rsidRPr="00EA2DE2" w:rsidRDefault="00387DC9" w:rsidP="00671E7A">
      <w:pPr>
        <w:pStyle w:val="PargrafodaLista"/>
        <w:numPr>
          <w:ilvl w:val="0"/>
          <w:numId w:val="68"/>
        </w:numPr>
        <w:rPr>
          <w:bCs/>
          <w:szCs w:val="20"/>
        </w:rPr>
      </w:pPr>
      <w:r w:rsidRPr="00397EA1">
        <w:rPr>
          <w:bCs/>
          <w:szCs w:val="20"/>
        </w:rPr>
        <w:t>Ser</w:t>
      </w:r>
      <w:r w:rsidR="00DF62B1" w:rsidRPr="00397EA1">
        <w:rPr>
          <w:bCs/>
          <w:szCs w:val="20"/>
        </w:rPr>
        <w:t xml:space="preserve"> atualizado a cada 24 (vinte e quatro) </w:t>
      </w:r>
      <w:r w:rsidR="00DF62B1" w:rsidRPr="00EA2DE2">
        <w:rPr>
          <w:bCs/>
          <w:szCs w:val="20"/>
        </w:rPr>
        <w:t>meses.</w:t>
      </w:r>
    </w:p>
    <w:p w14:paraId="767031F1" w14:textId="549E3941" w:rsidR="00387DC9" w:rsidRPr="00EA2DE2" w:rsidRDefault="00387DC9" w:rsidP="00671E7A">
      <w:pPr>
        <w:pStyle w:val="PargrafodaLista"/>
        <w:numPr>
          <w:ilvl w:val="0"/>
          <w:numId w:val="68"/>
        </w:numPr>
        <w:rPr>
          <w:bCs/>
          <w:szCs w:val="20"/>
        </w:rPr>
      </w:pPr>
      <w:r w:rsidRPr="00EA2DE2">
        <w:rPr>
          <w:bCs/>
          <w:szCs w:val="20"/>
        </w:rPr>
        <w:t>Contemplar</w:t>
      </w:r>
      <w:r w:rsidR="006A6E0B" w:rsidRPr="00EA2DE2">
        <w:rPr>
          <w:bCs/>
          <w:szCs w:val="20"/>
        </w:rPr>
        <w:t>, em caso de</w:t>
      </w:r>
      <w:r w:rsidRPr="00EA2DE2">
        <w:rPr>
          <w:bCs/>
          <w:szCs w:val="20"/>
        </w:rPr>
        <w:t xml:space="preserve"> fundos de investimentos, o administrador, o gestor e o distribuidor do fundo; e </w:t>
      </w:r>
    </w:p>
    <w:p w14:paraId="4D27E877" w14:textId="7E79B4FB" w:rsidR="00387DC9" w:rsidRPr="00EA2DE2" w:rsidRDefault="00387DC9" w:rsidP="00671E7A">
      <w:pPr>
        <w:pStyle w:val="PargrafodaLista"/>
        <w:rPr>
          <w:bCs/>
          <w:szCs w:val="20"/>
        </w:rPr>
      </w:pPr>
      <w:r w:rsidRPr="00EA2DE2">
        <w:rPr>
          <w:bCs/>
          <w:szCs w:val="20"/>
        </w:rPr>
        <w:lastRenderedPageBreak/>
        <w:t xml:space="preserve">Ser instruído, com os documentos previstos na instrução de preenchimento do modelo disponibilizado na página da </w:t>
      </w:r>
      <w:r w:rsidR="003E58FD" w:rsidRPr="00EA2DE2">
        <w:rPr>
          <w:bCs/>
          <w:szCs w:val="20"/>
        </w:rPr>
        <w:t>Previdência</w:t>
      </w:r>
      <w:r w:rsidRPr="00EA2DE2">
        <w:rPr>
          <w:bCs/>
          <w:szCs w:val="20"/>
        </w:rPr>
        <w:t xml:space="preserve"> Social, disponível na internet. </w:t>
      </w:r>
    </w:p>
    <w:p w14:paraId="269DE35D" w14:textId="28AB0018" w:rsidR="00387DC9" w:rsidRPr="00397EA1" w:rsidRDefault="00387DC9" w:rsidP="00387DC9">
      <w:pPr>
        <w:rPr>
          <w:bCs/>
          <w:szCs w:val="20"/>
        </w:rPr>
      </w:pPr>
      <w:r w:rsidRPr="00EA2DE2">
        <w:rPr>
          <w:bCs/>
          <w:szCs w:val="20"/>
        </w:rPr>
        <w:t xml:space="preserve">Em aspectos mais abrangentes, </w:t>
      </w:r>
      <w:r w:rsidR="00354A17" w:rsidRPr="00EA2DE2">
        <w:rPr>
          <w:bCs/>
          <w:szCs w:val="20"/>
        </w:rPr>
        <w:t>n</w:t>
      </w:r>
      <w:r w:rsidRPr="00EA2DE2">
        <w:rPr>
          <w:bCs/>
          <w:szCs w:val="20"/>
        </w:rPr>
        <w:t>o processo de seleção dos gestores e administradores, deverão ser considerados os aspectos qualitativos e quantitativos, tendo</w:t>
      </w:r>
      <w:r w:rsidRPr="00397EA1">
        <w:rPr>
          <w:bCs/>
          <w:szCs w:val="20"/>
        </w:rPr>
        <w:t xml:space="preserve"> como parâmetro de análise o mínimo:</w:t>
      </w:r>
    </w:p>
    <w:p w14:paraId="12281CE3" w14:textId="77777777" w:rsidR="00387DC9" w:rsidRPr="00397EA1" w:rsidRDefault="00387DC9" w:rsidP="00387DC9">
      <w:pPr>
        <w:ind w:left="1134"/>
        <w:rPr>
          <w:bCs/>
          <w:szCs w:val="20"/>
        </w:rPr>
      </w:pPr>
      <w:r w:rsidRPr="00397EA1">
        <w:rPr>
          <w:b/>
          <w:bCs/>
          <w:szCs w:val="20"/>
        </w:rPr>
        <w:t>Tradição e Credibilidade da Instituição</w:t>
      </w:r>
      <w:r w:rsidRPr="00397EA1">
        <w:rPr>
          <w:bCs/>
          <w:szCs w:val="20"/>
        </w:rPr>
        <w:t xml:space="preserve"> – envolvendo volume de recursos administrados e geridos, no Brasil e no exterior, capacitação profissional dos agentes envolvidos na administração e gestão de investimentos do fundo, que incluem formação acadêmica continuada, certificações, reconhecimento público etc., tempo de atuação e maturidade desses agentes na atividade, regularidade da manutenção da equipe, com base na rotatividade dos profissionais e na tempestividade na reposição, além de outras informações relacionadas com a administração e gestão de investimentos que permitam identificar a cultura fiduciária da instituição e seu compromisso com princípios de responsabilidade nos investimentos e de governança;</w:t>
      </w:r>
    </w:p>
    <w:p w14:paraId="27E8E97D" w14:textId="77777777" w:rsidR="00387DC9" w:rsidRPr="00397EA1" w:rsidRDefault="00387DC9" w:rsidP="00387DC9">
      <w:pPr>
        <w:ind w:left="1134"/>
        <w:rPr>
          <w:bCs/>
          <w:szCs w:val="20"/>
        </w:rPr>
      </w:pPr>
      <w:r w:rsidRPr="00397EA1">
        <w:rPr>
          <w:b/>
          <w:bCs/>
          <w:szCs w:val="20"/>
        </w:rPr>
        <w:t>Gestão do Risco</w:t>
      </w:r>
      <w:r w:rsidRPr="00397EA1">
        <w:rPr>
          <w:bCs/>
          <w:szCs w:val="20"/>
        </w:rPr>
        <w:t xml:space="preserve"> – envolvendo qualidade e consistência dos processos de administração e gestão, em especial aos riscos de crédito – quando aplicável – liquidez, mercado, legal e operacional, efetividade dos controles internos, envolvendo, ainda, o uso de ferramentas, softwares e consultorias especializadas, regularidade na prestação de informações, atuação da área de “</w:t>
      </w:r>
      <w:proofErr w:type="spellStart"/>
      <w:r w:rsidRPr="00397EA1">
        <w:rPr>
          <w:bCs/>
          <w:i/>
          <w:szCs w:val="20"/>
        </w:rPr>
        <w:t>compliance</w:t>
      </w:r>
      <w:proofErr w:type="spellEnd"/>
      <w:r w:rsidRPr="00397EA1">
        <w:rPr>
          <w:bCs/>
          <w:szCs w:val="20"/>
        </w:rPr>
        <w:t>”, capacitação profissional dos agentes envolvidos na administração e gestão de risco do fundo, que incluem formação acadêmica continuada, certificações, reconhecimento público etc., tempo de atuação e maturidade desses agentes na atividade, regularidade da manutenção da equipe de risco, com base na rotatividade dos profissionais e na tempestividade na reposição, além de outras informações relacionadas com a administração e gestão do risco;</w:t>
      </w:r>
    </w:p>
    <w:p w14:paraId="2D521CA7" w14:textId="77777777" w:rsidR="00387DC9" w:rsidRPr="00397EA1" w:rsidRDefault="00387DC9" w:rsidP="00387DC9">
      <w:pPr>
        <w:ind w:left="1134"/>
        <w:rPr>
          <w:bCs/>
          <w:szCs w:val="20"/>
        </w:rPr>
      </w:pPr>
      <w:r w:rsidRPr="00397EA1">
        <w:rPr>
          <w:b/>
          <w:bCs/>
          <w:szCs w:val="20"/>
        </w:rPr>
        <w:t>Avaliação de aderência dos Fundos aos indicadores de desempenho (Benchmark) e riscos</w:t>
      </w:r>
      <w:r w:rsidRPr="00397EA1">
        <w:rPr>
          <w:bCs/>
          <w:szCs w:val="20"/>
        </w:rPr>
        <w:t xml:space="preserve"> – envolvendo a correlação da rentabilidade com seus objetivos e a consistência na entrega de resultados no período mínimo de dois anos anteriores ao credenciamento.</w:t>
      </w:r>
    </w:p>
    <w:p w14:paraId="42220E01" w14:textId="77777777" w:rsidR="00387DC9" w:rsidRPr="00397EA1" w:rsidRDefault="00387DC9" w:rsidP="00387DC9">
      <w:r w:rsidRPr="00397EA1">
        <w:t>Entende-se que os fundos de investimentos possuem uma gestão discricionária, na qual o gestor decide pelos investimentos que vai realizar, desde que, respeitando o regulamento do fundo de investimento e as normas aplicáveis aos Regimes Próprios de Previdência Social.</w:t>
      </w:r>
    </w:p>
    <w:p w14:paraId="2F802650" w14:textId="77777777" w:rsidR="00387DC9" w:rsidRDefault="00387DC9" w:rsidP="00387DC9">
      <w:r w:rsidRPr="00397EA1">
        <w:t>No que tange ao distribuidor, instituição integrante do sistema de distribuição ou agente autônomo de investimento, sua análise e registro recairá sobre o contrato para distribuição e mediação do produto ofertado e sua regularidade com a Comissão de Valores Mobiliários - CVM.</w:t>
      </w:r>
    </w:p>
    <w:p w14:paraId="592A680F" w14:textId="28755B7E" w:rsidR="00F03226" w:rsidRPr="007C010A" w:rsidRDefault="00F03226"/>
    <w:p w14:paraId="5DA2B26C" w14:textId="34D0C52D" w:rsidR="00F03226" w:rsidRDefault="00F03226" w:rsidP="00276EFD">
      <w:pPr>
        <w:pStyle w:val="Ttulo3"/>
      </w:pPr>
      <w:bookmarkStart w:id="114" w:name="_Toc118105156"/>
      <w:r>
        <w:t>PROCESSO DE EXECUÇÃO</w:t>
      </w:r>
      <w:bookmarkEnd w:id="114"/>
    </w:p>
    <w:p w14:paraId="5C31252B" w14:textId="12A7AE9C" w:rsidR="004D1769" w:rsidRPr="00516AB2" w:rsidRDefault="004D1769" w:rsidP="005222CD">
      <w:r w:rsidRPr="00516AB2">
        <w:t xml:space="preserve">O </w:t>
      </w:r>
      <w:r w:rsidR="00D11EC2">
        <w:t>c</w:t>
      </w:r>
      <w:r w:rsidRPr="00516AB2">
        <w:t xml:space="preserve">redenciamento se dará por meio eletrônico, </w:t>
      </w:r>
      <w:r w:rsidR="00F03226" w:rsidRPr="00516AB2">
        <w:t xml:space="preserve">através do sistema eletrônico utilizado pelo </w:t>
      </w:r>
      <w:r w:rsidR="00A54E10" w:rsidRPr="00716D43">
        <w:rPr>
          <w:b/>
          <w:color w:val="000000" w:themeColor="text1"/>
        </w:rPr>
        <w:t>MUNICIPIO DE GUARACI</w:t>
      </w:r>
      <w:r w:rsidR="0089132B">
        <w:t xml:space="preserve">, </w:t>
      </w:r>
      <w:r w:rsidRPr="00516AB2">
        <w:t xml:space="preserve">no âmbito de controle, inclusive no gerenciamento dos documentos e </w:t>
      </w:r>
      <w:r w:rsidR="00D11EC2">
        <w:t>c</w:t>
      </w:r>
      <w:r w:rsidRPr="00516AB2">
        <w:t>ertidões requisitadas.</w:t>
      </w:r>
    </w:p>
    <w:p w14:paraId="646BD1F7" w14:textId="63A9E4FB" w:rsidR="004D1769" w:rsidRPr="00EA2DE2" w:rsidRDefault="004D1769" w:rsidP="005222CD">
      <w:r w:rsidRPr="00516AB2">
        <w:lastRenderedPageBreak/>
        <w:t>Fica definido</w:t>
      </w:r>
      <w:r w:rsidR="0089132B">
        <w:t xml:space="preserve"> adicionalmente como medida de segurança</w:t>
      </w:r>
      <w:r w:rsidR="00C868E5">
        <w:t xml:space="preserve"> e</w:t>
      </w:r>
      <w:r w:rsidRPr="00516AB2">
        <w:t xml:space="preserve"> como critério </w:t>
      </w:r>
      <w:r w:rsidR="00C868E5">
        <w:t>documental</w:t>
      </w:r>
      <w:r w:rsidRPr="00516AB2">
        <w:t xml:space="preserve"> para credenc</w:t>
      </w:r>
      <w:r w:rsidRPr="00EA2DE2">
        <w:t xml:space="preserve">iamento, o relatório </w:t>
      </w:r>
      <w:proofErr w:type="spellStart"/>
      <w:r w:rsidRPr="00EA2DE2">
        <w:rPr>
          <w:i/>
        </w:rPr>
        <w:t>Due</w:t>
      </w:r>
      <w:proofErr w:type="spellEnd"/>
      <w:r w:rsidRPr="00EA2DE2">
        <w:rPr>
          <w:i/>
        </w:rPr>
        <w:t xml:space="preserve"> </w:t>
      </w:r>
      <w:proofErr w:type="spellStart"/>
      <w:r w:rsidRPr="00EA2DE2">
        <w:rPr>
          <w:i/>
        </w:rPr>
        <w:t>Diligence</w:t>
      </w:r>
      <w:proofErr w:type="spellEnd"/>
      <w:r w:rsidRPr="00EA2DE2">
        <w:rPr>
          <w:i/>
        </w:rPr>
        <w:t xml:space="preserve"> </w:t>
      </w:r>
      <w:r w:rsidRPr="00EA2DE2">
        <w:t xml:space="preserve">da ANBIMA entendidos como </w:t>
      </w:r>
      <w:r w:rsidR="00C868E5" w:rsidRPr="00EA2DE2">
        <w:t>“</w:t>
      </w:r>
      <w:r w:rsidR="004514CE" w:rsidRPr="00EA2DE2">
        <w:t>S</w:t>
      </w:r>
      <w:r w:rsidRPr="00EA2DE2">
        <w:t xml:space="preserve">eção </w:t>
      </w:r>
      <w:r w:rsidR="00C868E5" w:rsidRPr="00EA2DE2">
        <w:t>UM</w:t>
      </w:r>
      <w:r w:rsidRPr="00EA2DE2">
        <w:t xml:space="preserve">, </w:t>
      </w:r>
      <w:r w:rsidR="00C868E5" w:rsidRPr="00EA2DE2">
        <w:t>DOIS</w:t>
      </w:r>
      <w:r w:rsidRPr="00EA2DE2">
        <w:t xml:space="preserve"> e </w:t>
      </w:r>
      <w:r w:rsidR="00C868E5" w:rsidRPr="00EA2DE2">
        <w:t>TRÊS”</w:t>
      </w:r>
      <w:r w:rsidRPr="00EA2DE2">
        <w:t>.</w:t>
      </w:r>
    </w:p>
    <w:p w14:paraId="01010441" w14:textId="4E089C7E" w:rsidR="007B37C7" w:rsidRPr="00EA2DE2" w:rsidRDefault="007B37C7" w:rsidP="005222CD">
      <w:r w:rsidRPr="00EA2DE2">
        <w:t xml:space="preserve">Encontra-se qualificado </w:t>
      </w:r>
      <w:r w:rsidR="00626BA8" w:rsidRPr="00EA2DE2">
        <w:t xml:space="preserve">a </w:t>
      </w:r>
      <w:r w:rsidRPr="00EA2DE2">
        <w:t xml:space="preserve">participar do processo seletivo qualquer </w:t>
      </w:r>
      <w:r w:rsidR="00F94DF2" w:rsidRPr="00EA2DE2">
        <w:t>Instituição Financeira</w:t>
      </w:r>
      <w:r w:rsidRPr="00EA2DE2">
        <w:t xml:space="preserve"> administradora </w:t>
      </w:r>
      <w:r w:rsidR="00D11EC2" w:rsidRPr="00EA2DE2">
        <w:t>e/</w:t>
      </w:r>
      <w:r w:rsidRPr="00EA2DE2">
        <w:t>ou gestora de recursos financeiros dos fundos de investimentos em que figurarem instituições autorizadas a funcionar pelo Banco Central do Brasil obrigadas a instituir comitê de auditoria e comitê de riscos, nos termos das Resoluções CMN n° 3.198/2004 e n° 4.557/2017, respectivamente.</w:t>
      </w:r>
      <w:r w:rsidR="004621FA" w:rsidRPr="00EA2DE2">
        <w:t xml:space="preserve"> As demais instituições que não cumprem tais requisitos, podem ser credenciadas normalmente, entretanto para tal instituição estar apta ao aporte do RPPS</w:t>
      </w:r>
      <w:r w:rsidR="008249FA" w:rsidRPr="00EA2DE2">
        <w:t xml:space="preserve"> deve ter ao menos um dos prestadores de serviço devidamente enquadrado.</w:t>
      </w:r>
    </w:p>
    <w:p w14:paraId="55EA50BC" w14:textId="133F9969" w:rsidR="0068399B" w:rsidRDefault="0068399B" w:rsidP="005222CD">
      <w:r w:rsidRPr="00EA2DE2">
        <w:t xml:space="preserve">Os demais parâmetros para o credenciamento foram adotados no processo de implantação das regras, procedimentos e controles internos do </w:t>
      </w:r>
      <w:r w:rsidR="00163DF1">
        <w:rPr>
          <w:b/>
          <w:bCs/>
          <w:color w:val="000000" w:themeColor="text1"/>
          <w:szCs w:val="20"/>
        </w:rPr>
        <w:t>MUNICÍ</w:t>
      </w:r>
      <w:r w:rsidR="00163DF1" w:rsidRPr="006053F5">
        <w:rPr>
          <w:b/>
          <w:bCs/>
          <w:color w:val="000000" w:themeColor="text1"/>
          <w:szCs w:val="20"/>
        </w:rPr>
        <w:t>PIO</w:t>
      </w:r>
      <w:r w:rsidR="00163DF1" w:rsidRPr="00716D43">
        <w:rPr>
          <w:b/>
          <w:color w:val="000000" w:themeColor="text1"/>
        </w:rPr>
        <w:t xml:space="preserve"> </w:t>
      </w:r>
      <w:r w:rsidR="00A54E10" w:rsidRPr="00716D43">
        <w:rPr>
          <w:b/>
          <w:color w:val="000000" w:themeColor="text1"/>
        </w:rPr>
        <w:t>DE GUARACI</w:t>
      </w:r>
      <w:r w:rsidR="00A54E10" w:rsidRPr="00516AB2">
        <w:t xml:space="preserve"> </w:t>
      </w:r>
      <w:r w:rsidRPr="00EA2DE2">
        <w:t>que vis</w:t>
      </w:r>
      <w:r w:rsidR="00431100" w:rsidRPr="00EA2DE2">
        <w:t>am</w:t>
      </w:r>
      <w:r w:rsidRPr="00EA2DE2">
        <w:t xml:space="preserve"> garantir o cumprimento de suas obrigações, respeitando a Política de Investimentos estabelecida, observados os segmentos, limites e demais requisitos previstos estabelecidos e os parâmetros estabelecidos nas normas gerais de organização e funcionamento dos Regimes Próprios de Previdência Social, em regulamentação da Secretaria de Previdência.</w:t>
      </w:r>
    </w:p>
    <w:p w14:paraId="2FB07691" w14:textId="2DCBB179" w:rsidR="00BD7C79" w:rsidRDefault="00BB6924" w:rsidP="00276EFD">
      <w:pPr>
        <w:pStyle w:val="Ttulo3"/>
      </w:pPr>
      <w:bookmarkStart w:id="115" w:name="_Toc118105157"/>
      <w:r>
        <w:t>VA</w:t>
      </w:r>
      <w:r w:rsidR="005222CD">
        <w:t>LIDADE</w:t>
      </w:r>
      <w:bookmarkEnd w:id="115"/>
    </w:p>
    <w:p w14:paraId="77171D20" w14:textId="043527FB" w:rsidR="00BB6924" w:rsidRDefault="008B0EE4" w:rsidP="005222CD">
      <w:r>
        <w:t>A</w:t>
      </w:r>
      <w:r w:rsidR="0019501E">
        <w:t>s</w:t>
      </w:r>
      <w:r>
        <w:t xml:space="preserve"> </w:t>
      </w:r>
      <w:r w:rsidRPr="008B0EE4">
        <w:t>análise</w:t>
      </w:r>
      <w:r w:rsidR="0019501E">
        <w:t>s</w:t>
      </w:r>
      <w:r w:rsidRPr="008B0EE4">
        <w:t xml:space="preserve"> dos quesitos verificados no</w:t>
      </w:r>
      <w:r w:rsidR="0019501E">
        <w:t>s</w:t>
      </w:r>
      <w:r w:rsidRPr="008B0EE4">
        <w:t xml:space="preserve"> processo</w:t>
      </w:r>
      <w:r w:rsidR="0019501E">
        <w:t>s</w:t>
      </w:r>
      <w:r w:rsidRPr="008B0EE4">
        <w:t xml:space="preserve"> de credenciamento</w:t>
      </w:r>
      <w:r w:rsidR="0019501E">
        <w:t>,</w:t>
      </w:r>
      <w:r w:rsidRPr="008B0EE4">
        <w:t xml:space="preserve"> dever</w:t>
      </w:r>
      <w:r w:rsidR="0019501E">
        <w:t>ão</w:t>
      </w:r>
      <w:r w:rsidRPr="008B0EE4">
        <w:t xml:space="preserve"> ser atualizad</w:t>
      </w:r>
      <w:r w:rsidR="0019501E">
        <w:t>os</w:t>
      </w:r>
      <w:r w:rsidRPr="008B0EE4">
        <w:t xml:space="preserve"> a cada </w:t>
      </w:r>
      <w:r w:rsidR="00236C1E">
        <w:t>24</w:t>
      </w:r>
      <w:r w:rsidR="00236C1E" w:rsidRPr="008B0EE4">
        <w:t xml:space="preserve"> </w:t>
      </w:r>
      <w:r w:rsidRPr="008B0EE4">
        <w:t>(</w:t>
      </w:r>
      <w:r w:rsidR="00236C1E">
        <w:t>vinte e quatro</w:t>
      </w:r>
      <w:r w:rsidRPr="008B0EE4">
        <w:t>) meses</w:t>
      </w:r>
      <w:r>
        <w:t xml:space="preserve"> </w:t>
      </w:r>
      <w:r w:rsidR="0019501E">
        <w:t>ou</w:t>
      </w:r>
      <w:r>
        <w:t xml:space="preserve"> sempre que houver a necessidade</w:t>
      </w:r>
      <w:r w:rsidRPr="008B0EE4">
        <w:t>.</w:t>
      </w:r>
    </w:p>
    <w:p w14:paraId="46FBD270" w14:textId="754EDA4A" w:rsidR="00BA6677" w:rsidRPr="00516AB2" w:rsidRDefault="00BA6677" w:rsidP="005222CD">
      <w:bookmarkStart w:id="116" w:name="_Toc435189700"/>
      <w:bookmarkStart w:id="117" w:name="_Toc435202758"/>
      <w:bookmarkStart w:id="118" w:name="_Toc490036563"/>
    </w:p>
    <w:p w14:paraId="45C50088" w14:textId="77777777" w:rsidR="0050706A" w:rsidRPr="00516AB2" w:rsidRDefault="0050706A" w:rsidP="005222CD">
      <w:pPr>
        <w:pStyle w:val="Ttulo1"/>
        <w:spacing w:before="360"/>
      </w:pPr>
      <w:bookmarkStart w:id="119" w:name="_Toc118105158"/>
      <w:r w:rsidRPr="00516AB2">
        <w:t>PRECIFICAÇÃO DE ATIVOS</w:t>
      </w:r>
      <w:bookmarkEnd w:id="119"/>
    </w:p>
    <w:p w14:paraId="31B24630" w14:textId="470E8901" w:rsidR="00C43795" w:rsidRPr="00EA2DE2" w:rsidRDefault="00C43795" w:rsidP="005222CD">
      <w:r w:rsidRPr="00516AB2">
        <w:t xml:space="preserve">Os princípios e critérios </w:t>
      </w:r>
      <w:r w:rsidR="00C02502" w:rsidRPr="00516AB2">
        <w:t xml:space="preserve">de precificação para os ativos e </w:t>
      </w:r>
      <w:r w:rsidRPr="00516AB2">
        <w:t xml:space="preserve">os </w:t>
      </w:r>
      <w:r w:rsidRPr="00EA2DE2">
        <w:t xml:space="preserve">fundos de investimentos que compõe ou que virão a compor a carteira de investimentos do </w:t>
      </w:r>
      <w:r w:rsidR="00163DF1">
        <w:rPr>
          <w:b/>
          <w:bCs/>
          <w:color w:val="000000" w:themeColor="text1"/>
          <w:szCs w:val="20"/>
        </w:rPr>
        <w:t>MUNICÍ</w:t>
      </w:r>
      <w:r w:rsidR="00163DF1" w:rsidRPr="006053F5">
        <w:rPr>
          <w:b/>
          <w:bCs/>
          <w:color w:val="000000" w:themeColor="text1"/>
          <w:szCs w:val="20"/>
        </w:rPr>
        <w:t>PIO</w:t>
      </w:r>
      <w:r w:rsidR="00163DF1" w:rsidRPr="00716D43">
        <w:rPr>
          <w:b/>
          <w:color w:val="000000" w:themeColor="text1"/>
        </w:rPr>
        <w:t xml:space="preserve"> </w:t>
      </w:r>
      <w:r w:rsidR="00A54E10" w:rsidRPr="00716D43">
        <w:rPr>
          <w:b/>
          <w:color w:val="000000" w:themeColor="text1"/>
        </w:rPr>
        <w:t>DE GUARACI</w:t>
      </w:r>
      <w:r w:rsidRPr="00EA2DE2">
        <w:t>, deverão seguir o c</w:t>
      </w:r>
      <w:r w:rsidR="00067097" w:rsidRPr="00EA2DE2">
        <w:t>ritério de precificação de marcação a mercado (</w:t>
      </w:r>
      <w:proofErr w:type="spellStart"/>
      <w:r w:rsidR="00067097" w:rsidRPr="00EA2DE2">
        <w:t>MaM</w:t>
      </w:r>
      <w:proofErr w:type="spellEnd"/>
      <w:r w:rsidR="00067097" w:rsidRPr="00EA2DE2">
        <w:t>).</w:t>
      </w:r>
    </w:p>
    <w:p w14:paraId="48BA4AB6" w14:textId="134E5F2A" w:rsidR="00712962" w:rsidRPr="00EA2DE2" w:rsidRDefault="00712962" w:rsidP="005222CD">
      <w:r w:rsidRPr="00EA2DE2">
        <w:t>Conforme dispõe o artigo 143 da</w:t>
      </w:r>
      <w:r w:rsidR="00774B2A" w:rsidRPr="00EA2DE2">
        <w:t xml:space="preserve"> </w:t>
      </w:r>
      <w:r w:rsidR="00792BE5" w:rsidRPr="00EA2DE2">
        <w:t>P</w:t>
      </w:r>
      <w:r w:rsidR="00774B2A" w:rsidRPr="00EA2DE2">
        <w:t>ortaria</w:t>
      </w:r>
      <w:r w:rsidR="00792BE5" w:rsidRPr="00EA2DE2">
        <w:t xml:space="preserve"> </w:t>
      </w:r>
      <w:r w:rsidR="00774B2A" w:rsidRPr="00EA2DE2">
        <w:t>1</w:t>
      </w:r>
      <w:r w:rsidR="00792BE5" w:rsidRPr="00EA2DE2">
        <w:t>.</w:t>
      </w:r>
      <w:r w:rsidR="00774B2A" w:rsidRPr="00EA2DE2">
        <w:t>467</w:t>
      </w:r>
      <w:r w:rsidRPr="00EA2DE2">
        <w:t>/2022, deverão ser observados os princípios e normas de contabilidade aplicáveis ao setor público para o registro de valores da carteira de investimentos do Regime Próprio de Previdência Social, tendo como base metodologias, c</w:t>
      </w:r>
      <w:r>
        <w:t xml:space="preserve">ritérios e fontes de referência para a precificação dos ativos </w:t>
      </w:r>
      <w:r w:rsidRPr="00EA2DE2">
        <w:t>como são estabelecidos na política de investimentos, conforme as normas da CVM, Banco do Brasil e</w:t>
      </w:r>
      <w:r w:rsidR="000F4BC7" w:rsidRPr="00EA2DE2">
        <w:t>,</w:t>
      </w:r>
      <w:r w:rsidRPr="00EA2DE2">
        <w:t xml:space="preserve"> também</w:t>
      </w:r>
      <w:r w:rsidR="000F4BC7" w:rsidRPr="00EA2DE2">
        <w:t>,</w:t>
      </w:r>
      <w:r w:rsidRPr="00EA2DE2">
        <w:t xml:space="preserve"> pelos parâmetros reconhecidos pelo mercado financeiro.</w:t>
      </w:r>
    </w:p>
    <w:p w14:paraId="0B4E8DE5" w14:textId="35506654" w:rsidR="00712962" w:rsidRDefault="00712962" w:rsidP="005222CD">
      <w:r w:rsidRPr="00EA2DE2">
        <w:t>Além disso, conforme disposto no art</w:t>
      </w:r>
      <w:r w:rsidR="0051517C" w:rsidRPr="00EA2DE2">
        <w:t xml:space="preserve">. </w:t>
      </w:r>
      <w:r w:rsidRPr="00EA2DE2">
        <w:t xml:space="preserve">145 da </w:t>
      </w:r>
      <w:r w:rsidR="0051517C" w:rsidRPr="00EA2DE2">
        <w:t>P</w:t>
      </w:r>
      <w:r w:rsidR="00774B2A" w:rsidRPr="00EA2DE2">
        <w:t>ortaria</w:t>
      </w:r>
      <w:r w:rsidR="00792BE5" w:rsidRPr="00EA2DE2">
        <w:t xml:space="preserve"> </w:t>
      </w:r>
      <w:r w:rsidR="0051517C" w:rsidRPr="00EA2DE2">
        <w:t>1</w:t>
      </w:r>
      <w:r w:rsidR="00792BE5">
        <w:t>.</w:t>
      </w:r>
      <w:r w:rsidR="0051517C">
        <w:t>467/2022</w:t>
      </w:r>
      <w:r>
        <w:t>, os ativos financeiros que integrarem a carteira do RPPS poderão ser classificados da seguinte forma:</w:t>
      </w:r>
    </w:p>
    <w:p w14:paraId="106C5CBE" w14:textId="6AF14293" w:rsidR="00712962" w:rsidRDefault="00712962" w:rsidP="00276EFD">
      <w:pPr>
        <w:pStyle w:val="PargrafodaLista"/>
        <w:numPr>
          <w:ilvl w:val="0"/>
          <w:numId w:val="45"/>
        </w:numPr>
      </w:pPr>
      <w:r>
        <w:t>Disponíveis para negociação futura ou para venda imediata; ou</w:t>
      </w:r>
    </w:p>
    <w:p w14:paraId="2C46400F" w14:textId="77777777" w:rsidR="00712962" w:rsidRDefault="00712962" w:rsidP="00276EFD">
      <w:pPr>
        <w:pStyle w:val="PargrafodaLista"/>
      </w:pPr>
    </w:p>
    <w:p w14:paraId="3FA2FDD9" w14:textId="3DBA39C0" w:rsidR="00712962" w:rsidRDefault="00712962" w:rsidP="00276EFD">
      <w:pPr>
        <w:pStyle w:val="PargrafodaLista"/>
        <w:numPr>
          <w:ilvl w:val="0"/>
          <w:numId w:val="45"/>
        </w:numPr>
      </w:pPr>
      <w:r>
        <w:t>Mantidas até o vencimento.</w:t>
      </w:r>
    </w:p>
    <w:p w14:paraId="0DCC1C65" w14:textId="77777777" w:rsidR="00712962" w:rsidRDefault="00712962" w:rsidP="00276EFD">
      <w:pPr>
        <w:pStyle w:val="PargrafodaLista"/>
      </w:pPr>
    </w:p>
    <w:p w14:paraId="14D3F90C" w14:textId="7B19AFEB" w:rsidR="00AC3E1F" w:rsidRDefault="00712962" w:rsidP="007646F1">
      <w:r w:rsidRPr="00EA2DE2">
        <w:t>Caso seja realizada uma reclassificaç</w:t>
      </w:r>
      <w:r w:rsidR="00AC3E1F" w:rsidRPr="00EA2DE2">
        <w:t xml:space="preserve">ão dos ativos da categoria </w:t>
      </w:r>
      <w:r w:rsidRPr="00EA2DE2">
        <w:t xml:space="preserve">e mantidos até o vencimento </w:t>
      </w:r>
      <w:r w:rsidR="00AC3E1F" w:rsidRPr="00EA2DE2">
        <w:t xml:space="preserve">para a categoria de ativos disponíveis para negociação, como explica </w:t>
      </w:r>
      <w:r w:rsidR="00FB3953" w:rsidRPr="00EA2DE2">
        <w:t>a Portaria 1.467/2022 n</w:t>
      </w:r>
      <w:r w:rsidR="00AC3E1F" w:rsidRPr="00EA2DE2">
        <w:t>o anexo VIII.</w:t>
      </w:r>
    </w:p>
    <w:p w14:paraId="64F819DD" w14:textId="0780C79C" w:rsidR="00FE236A" w:rsidRDefault="00FE236A" w:rsidP="005222CD">
      <w:r>
        <w:lastRenderedPageBreak/>
        <w:t>Poderão ser contabilizados pelos respectivos custos de aquisição acrescidos dos rendimentos auferidos os Títulos Públicos Federais, desde que se cumpram cumulativamente as devidas exigências da Portaria n°</w:t>
      </w:r>
      <w:r w:rsidR="00220D81">
        <w:t>1</w:t>
      </w:r>
      <w:r w:rsidR="00792BE5">
        <w:t>.</w:t>
      </w:r>
      <w:r w:rsidR="00220D81">
        <w:t>467</w:t>
      </w:r>
      <w:r>
        <w:t xml:space="preserve">, de </w:t>
      </w:r>
      <w:r w:rsidR="00220D81">
        <w:t xml:space="preserve">02 </w:t>
      </w:r>
      <w:r>
        <w:t xml:space="preserve">de </w:t>
      </w:r>
      <w:r w:rsidR="00220D81">
        <w:t xml:space="preserve">junho </w:t>
      </w:r>
      <w:r>
        <w:t>de 20</w:t>
      </w:r>
      <w:r w:rsidR="00220D81">
        <w:t>22</w:t>
      </w:r>
      <w:r w:rsidR="00662190">
        <w:t xml:space="preserve"> já descritos anteriormente</w:t>
      </w:r>
      <w:r>
        <w:t>.</w:t>
      </w:r>
    </w:p>
    <w:p w14:paraId="43ABF860" w14:textId="593ECED4" w:rsidR="0050706A" w:rsidRDefault="0050706A">
      <w:pPr>
        <w:pStyle w:val="Ttulo2"/>
      </w:pPr>
      <w:bookmarkStart w:id="120" w:name="_Toc118105159"/>
      <w:r w:rsidRPr="00516AB2">
        <w:t>METODOLOGIA</w:t>
      </w:r>
      <w:bookmarkEnd w:id="120"/>
    </w:p>
    <w:p w14:paraId="3764596F" w14:textId="77777777" w:rsidR="007848F7" w:rsidRPr="007848F7" w:rsidRDefault="00AC0375" w:rsidP="005222CD">
      <w:pPr>
        <w:pStyle w:val="Ttulo3"/>
      </w:pPr>
      <w:bookmarkStart w:id="121" w:name="_Toc118105160"/>
      <w:r>
        <w:t>MARCAÇÕES</w:t>
      </w:r>
      <w:bookmarkEnd w:id="121"/>
    </w:p>
    <w:p w14:paraId="1FC7DA02" w14:textId="77777777" w:rsidR="00576270" w:rsidRDefault="007740D7" w:rsidP="005222CD">
      <w:r w:rsidRPr="00516AB2">
        <w:t xml:space="preserve">O processo de </w:t>
      </w:r>
      <w:r w:rsidRPr="00AC0375">
        <w:rPr>
          <w:b/>
          <w:u w:val="single"/>
        </w:rPr>
        <w:t>marcação a mercado</w:t>
      </w:r>
      <w:r w:rsidRPr="00516AB2">
        <w:t xml:space="preserve"> consiste em atribuir um preço justo a um determinado ativo ou derivativo, seja pelo preço de mercado, caso haja liquidez, ou seja, na ausência desta, pela melhor estimativa que o preço do ativo teria em uma eventual negociação.</w:t>
      </w:r>
    </w:p>
    <w:p w14:paraId="51033AAB" w14:textId="77777777" w:rsidR="007848F7" w:rsidRPr="007848F7" w:rsidRDefault="007848F7" w:rsidP="005222CD">
      <w:r w:rsidRPr="00AC0375">
        <w:t xml:space="preserve">O processo de </w:t>
      </w:r>
      <w:r w:rsidRPr="00AC0375">
        <w:rPr>
          <w:b/>
          <w:u w:val="single"/>
        </w:rPr>
        <w:t>marcação na curva</w:t>
      </w:r>
      <w:r w:rsidRPr="00AC0375">
        <w:t xml:space="preserve"> consiste na contabilização do valor de compra de um determinado título, acrescido da variação da taxa de juros, desde </w:t>
      </w:r>
      <w:r w:rsidR="004B3B42" w:rsidRPr="00AC0375">
        <w:t xml:space="preserve">que </w:t>
      </w:r>
      <w:r w:rsidRPr="00AC0375">
        <w:t xml:space="preserve">a emissão do papel </w:t>
      </w:r>
      <w:r w:rsidR="004B3B42" w:rsidRPr="00AC0375">
        <w:t xml:space="preserve">seja carregada </w:t>
      </w:r>
      <w:r w:rsidRPr="00AC0375">
        <w:t>até o seu respectivo vencimento.</w:t>
      </w:r>
      <w:r w:rsidR="00BF54CB" w:rsidRPr="00AC0375">
        <w:t xml:space="preserve"> O valor será atualizado diariamente, sem considerar a oscilações de preço auferidas no mercado.</w:t>
      </w:r>
    </w:p>
    <w:p w14:paraId="03EE97F4" w14:textId="77777777" w:rsidR="0050706A" w:rsidRPr="00516AB2" w:rsidRDefault="0050706A">
      <w:pPr>
        <w:pStyle w:val="Ttulo2"/>
      </w:pPr>
      <w:bookmarkStart w:id="122" w:name="_Toc118105161"/>
      <w:r w:rsidRPr="00516AB2">
        <w:t>CRITÉRIOS</w:t>
      </w:r>
      <w:r w:rsidR="00134F10" w:rsidRPr="00516AB2">
        <w:t xml:space="preserve"> DE PRECIFICAÇÃO</w:t>
      </w:r>
      <w:bookmarkEnd w:id="122"/>
    </w:p>
    <w:p w14:paraId="73481958" w14:textId="77777777" w:rsidR="007740D7" w:rsidRDefault="00134F10" w:rsidP="005222CD">
      <w:pPr>
        <w:pStyle w:val="Ttulo3"/>
      </w:pPr>
      <w:bookmarkStart w:id="123" w:name="_Toc118105162"/>
      <w:r w:rsidRPr="00516AB2">
        <w:t>TÍTULOS PÚBLICOS FEDERAIS</w:t>
      </w:r>
      <w:bookmarkEnd w:id="123"/>
    </w:p>
    <w:p w14:paraId="30013D88" w14:textId="77777777" w:rsidR="00C13039" w:rsidRPr="00516AB2" w:rsidRDefault="00C13039" w:rsidP="005222CD">
      <w:r w:rsidRPr="00516AB2">
        <w:t>São ativos de renda fixa emitidos pelo Tesouro Nacional, que representam uma forma de financiar a dívida pública e permitem que os investidores emprestem dinheiro para o governo, recebendo em troca uma determinada rentabilidade. Possuem diversas características como: liquidez diária, baixo custo, baixíssimo risco de crédito, e a solidez de uma instituição enorme por trás.</w:t>
      </w:r>
    </w:p>
    <w:p w14:paraId="3AA247EC" w14:textId="77777777" w:rsidR="00C13039" w:rsidRDefault="00C13039" w:rsidP="005222CD">
      <w:r w:rsidRPr="00516AB2">
        <w:t>Como fonte primária de dados, a curva de títulos em reais, gerada a partir da taxa indicativa divulgada pela ANBIMA e a taxa de juros divulgada pelo Banco Central, encontramos o valor do preço unitário do título público.</w:t>
      </w:r>
    </w:p>
    <w:p w14:paraId="7EAE0771" w14:textId="77777777" w:rsidR="00211C8C" w:rsidRPr="00BF54CB" w:rsidRDefault="00211C8C" w:rsidP="005222CD">
      <w:pPr>
        <w:pStyle w:val="Ttulo4"/>
      </w:pPr>
      <w:r>
        <w:t>Marcação a Mercado</w:t>
      </w:r>
    </w:p>
    <w:p w14:paraId="75606AAA" w14:textId="77777777" w:rsidR="004B3B42" w:rsidRDefault="00C13039" w:rsidP="005222CD">
      <w:r w:rsidRPr="00516AB2">
        <w:t xml:space="preserve">Através do preço unitário divulgado no extrato do </w:t>
      </w:r>
      <w:proofErr w:type="spellStart"/>
      <w:r w:rsidRPr="00516AB2">
        <w:t>custodiante</w:t>
      </w:r>
      <w:proofErr w:type="spellEnd"/>
      <w:r w:rsidRPr="00516AB2">
        <w:t>, multiplicado pela quantidade de títulos públicos detidos pelo regime, obtivemos o valor a mercado do título público na carteira de investimentos. Abaixo segue fórmula:</w:t>
      </w:r>
    </w:p>
    <w:p w14:paraId="0EE8FC43" w14:textId="77777777" w:rsidR="00C13039" w:rsidRPr="00516AB2" w:rsidRDefault="00D13FB8" w:rsidP="00134F10">
      <w:pPr>
        <w:spacing w:after="240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Vm=P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Atual</m:t>
              </m:r>
            </m:sub>
          </m:sSub>
          <m:r>
            <w:rPr>
              <w:rFonts w:ascii="Cambria Math" w:hAnsi="Cambria Math"/>
            </w:rPr>
            <m:t>*Q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título</m:t>
              </m:r>
            </m:sub>
          </m:sSub>
        </m:oMath>
      </m:oMathPara>
    </w:p>
    <w:p w14:paraId="1B225D99" w14:textId="77777777" w:rsidR="00EF7905" w:rsidRPr="00516AB2" w:rsidRDefault="00EF7905" w:rsidP="00AB69A3">
      <w:pPr>
        <w:spacing w:after="240"/>
      </w:pPr>
      <w:r w:rsidRPr="00516AB2">
        <w:t>Onde:</w:t>
      </w:r>
    </w:p>
    <w:p w14:paraId="106D8675" w14:textId="77777777" w:rsidR="00C13039" w:rsidRPr="00516AB2" w:rsidRDefault="00EF7905" w:rsidP="004D7769">
      <w:pPr>
        <w:spacing w:after="0"/>
        <w:ind w:left="1134"/>
      </w:pPr>
      <w:proofErr w:type="spellStart"/>
      <w:r w:rsidRPr="00F23794">
        <w:rPr>
          <w:b/>
          <w:i/>
        </w:rPr>
        <w:t>Vm</w:t>
      </w:r>
      <w:proofErr w:type="spellEnd"/>
      <w:r w:rsidRPr="00516AB2">
        <w:t xml:space="preserve"> = valor de mercado</w:t>
      </w:r>
    </w:p>
    <w:p w14:paraId="54CC021B" w14:textId="77777777" w:rsidR="00EF7905" w:rsidRPr="00516AB2" w:rsidRDefault="00E22307" w:rsidP="004D7769">
      <w:pPr>
        <w:spacing w:after="0"/>
        <w:ind w:left="1134"/>
      </w:pPr>
      <m:oMath>
        <m:r>
          <w:rPr>
            <w:rFonts w:ascii="Cambria Math" w:eastAsiaTheme="minorEastAsia" w:hAnsi="Cambria Math"/>
          </w:rPr>
          <m:t>P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atual</m:t>
            </m:r>
          </m:sub>
        </m:sSub>
      </m:oMath>
      <w:r w:rsidR="00EF7905" w:rsidRPr="00516AB2">
        <w:t xml:space="preserve"> = preço un</w:t>
      </w:r>
      <w:proofErr w:type="spellStart"/>
      <w:r w:rsidR="00EF7905" w:rsidRPr="00516AB2">
        <w:t>itário</w:t>
      </w:r>
      <w:proofErr w:type="spellEnd"/>
      <w:r w:rsidR="00EF7905" w:rsidRPr="00516AB2">
        <w:t xml:space="preserve"> atual</w:t>
      </w:r>
    </w:p>
    <w:p w14:paraId="3179AA37" w14:textId="77777777" w:rsidR="004B3B42" w:rsidRDefault="00E22307" w:rsidP="00B829E0">
      <w:pPr>
        <w:spacing w:after="240"/>
        <w:ind w:left="1134"/>
      </w:pPr>
      <m:oMath>
        <m:r>
          <w:rPr>
            <w:rFonts w:ascii="Cambria Math" w:hAnsi="Cambria Math"/>
          </w:rPr>
          <m:t>Q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títulos</m:t>
            </m:r>
          </m:sub>
        </m:sSub>
      </m:oMath>
      <w:r w:rsidR="00EF7905" w:rsidRPr="00EA2DE2">
        <w:t xml:space="preserve"> = quantidade de títulos em posso</w:t>
      </w:r>
      <w:r w:rsidR="00EF7905" w:rsidRPr="00516AB2">
        <w:t xml:space="preserve"> do regime</w:t>
      </w:r>
    </w:p>
    <w:p w14:paraId="2383C2BE" w14:textId="77777777" w:rsidR="00BF54CB" w:rsidRPr="00002414" w:rsidRDefault="00BF54CB" w:rsidP="005222CD">
      <w:pPr>
        <w:pStyle w:val="Ttulo4"/>
      </w:pPr>
      <w:r w:rsidRPr="00002414">
        <w:t>Marcação na Curva</w:t>
      </w:r>
    </w:p>
    <w:p w14:paraId="10D2C6CC" w14:textId="77777777" w:rsidR="00BF54CB" w:rsidRDefault="005E7912" w:rsidP="005222CD">
      <w:r w:rsidRPr="00002414">
        <w:t xml:space="preserve">Como a precificação na curva é dada pela apropriação natural de juros até a data de vencimento do título, as </w:t>
      </w:r>
      <w:r w:rsidR="00713171" w:rsidRPr="00002414">
        <w:t>fórmula</w:t>
      </w:r>
      <w:r w:rsidRPr="00002414">
        <w:t>s variam de acordo com o tipo de papel, sendo</w:t>
      </w:r>
      <w:r w:rsidR="00713171" w:rsidRPr="00002414">
        <w:t>:</w:t>
      </w:r>
    </w:p>
    <w:p w14:paraId="01213670" w14:textId="77777777" w:rsidR="005E7912" w:rsidRPr="00C95BFC" w:rsidRDefault="005E7912" w:rsidP="00B829E0">
      <w:pPr>
        <w:spacing w:after="240"/>
        <w:ind w:left="708"/>
        <w:rPr>
          <w:b/>
          <w:i/>
          <w:color w:val="ED7D31"/>
        </w:rPr>
      </w:pPr>
      <w:r w:rsidRPr="00C95BFC">
        <w:rPr>
          <w:b/>
          <w:i/>
          <w:color w:val="ED7D31"/>
        </w:rPr>
        <w:t>Tesouro IPCA – NTN-B</w:t>
      </w:r>
    </w:p>
    <w:p w14:paraId="72320E3F" w14:textId="77777777" w:rsidR="005E7912" w:rsidRPr="005E7912" w:rsidRDefault="005E7912" w:rsidP="005222CD">
      <w:r w:rsidRPr="005E7912">
        <w:lastRenderedPageBreak/>
        <w:t>O Tesouro IPCA – NTN-B Principal possui fluxo de pagamento simples, ou seja, o investidor faz a aplicação e resgata o valor de face (valor investido somado à rentabilidade) na data de vencimento do título.</w:t>
      </w:r>
    </w:p>
    <w:p w14:paraId="0559837F" w14:textId="77777777" w:rsidR="005E7912" w:rsidRPr="005E7912" w:rsidRDefault="005E7912" w:rsidP="005222CD">
      <w:r w:rsidRPr="005E7912">
        <w:t>É um título pós-fixado cujo rendimento se dá por uma taxa definida mais a variação da taxa do Índice Nacional de Preço ao Consumidor Amplo em um determinado período.</w:t>
      </w:r>
    </w:p>
    <w:p w14:paraId="561660D9" w14:textId="77777777" w:rsidR="005E7912" w:rsidRDefault="005E7912" w:rsidP="005222CD">
      <w:r w:rsidRPr="005E7912">
        <w:t>O Valor Nominal Atualizado é calculado através do VNA na data de compra do título e da projeção do IPCA para a data de liquidação, seguindo a equação</w:t>
      </w:r>
      <w:r>
        <w:t>:</w:t>
      </w:r>
    </w:p>
    <w:p w14:paraId="338E4A23" w14:textId="77777777" w:rsidR="005E7912" w:rsidRPr="00E601D4" w:rsidRDefault="005E7912" w:rsidP="005E7912">
      <w:pPr>
        <w:spacing w:after="240"/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VNA=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VNA</m:t>
              </m:r>
            </m:e>
            <m:sub>
              <m:r>
                <w:rPr>
                  <w:rFonts w:ascii="Cambria Math" w:hAnsi="Cambria Math"/>
                </w:rPr>
                <m:t>data de compra</m:t>
              </m:r>
            </m:sub>
          </m:sSub>
          <m:r>
            <w:rPr>
              <w:rFonts w:ascii="Cambria Math" w:hAnsi="Cambria Math"/>
            </w:rPr>
            <m:t>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IPCA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projetado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</w:rPr>
                <m:t>1/252</m:t>
              </m:r>
            </m:sup>
          </m:sSup>
        </m:oMath>
      </m:oMathPara>
    </w:p>
    <w:p w14:paraId="74BEEA5E" w14:textId="77777777" w:rsidR="00E601D4" w:rsidRDefault="00E601D4" w:rsidP="005E7912">
      <w:pPr>
        <w:spacing w:after="240"/>
      </w:pPr>
      <w:r>
        <w:t>Onde:</w:t>
      </w:r>
    </w:p>
    <w:p w14:paraId="5B320731" w14:textId="77777777" w:rsidR="00E601D4" w:rsidRDefault="00E601D4" w:rsidP="00B829E0">
      <w:pPr>
        <w:spacing w:after="0"/>
        <w:ind w:left="1134"/>
        <w:rPr>
          <w:rFonts w:eastAsiaTheme="minorEastAsia"/>
        </w:rPr>
      </w:pPr>
      <m:oMath>
        <m:r>
          <w:rPr>
            <w:rFonts w:ascii="Cambria Math" w:hAnsi="Cambria Math"/>
          </w:rPr>
          <m:t>VNA</m:t>
        </m:r>
      </m:oMath>
      <w:r>
        <w:rPr>
          <w:rFonts w:eastAsiaTheme="minorEastAsia"/>
        </w:rPr>
        <w:t xml:space="preserve"> = Valor Nominal Atualizado</w:t>
      </w:r>
    </w:p>
    <w:p w14:paraId="294AC422" w14:textId="77777777" w:rsidR="00E601D4" w:rsidRDefault="00C716C6" w:rsidP="00B829E0">
      <w:pPr>
        <w:spacing w:after="0"/>
        <w:ind w:left="1134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VNA</m:t>
            </m:r>
          </m:e>
          <m:sub>
            <m:r>
              <w:rPr>
                <w:rFonts w:ascii="Cambria Math" w:hAnsi="Cambria Math"/>
              </w:rPr>
              <m:t>data de compra</m:t>
            </m:r>
          </m:sub>
        </m:sSub>
      </m:oMath>
      <w:r w:rsidR="00E601D4">
        <w:rPr>
          <w:rFonts w:eastAsiaTheme="minorEastAsia"/>
        </w:rPr>
        <w:t xml:space="preserve"> = Valor Nominal Atualizado na data da compra</w:t>
      </w:r>
    </w:p>
    <w:p w14:paraId="34532452" w14:textId="77777777" w:rsidR="00E601D4" w:rsidRPr="00E601D4" w:rsidRDefault="00C716C6" w:rsidP="00B829E0">
      <w:pPr>
        <w:spacing w:after="240"/>
        <w:ind w:left="1134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IPCA</m:t>
            </m:r>
          </m:e>
          <m:sub>
            <m:r>
              <w:rPr>
                <w:rFonts w:ascii="Cambria Math" w:hAnsi="Cambria Math"/>
              </w:rPr>
              <m:t>projetado</m:t>
            </m:r>
          </m:sub>
        </m:sSub>
      </m:oMath>
      <w:r w:rsidR="00E601D4">
        <w:rPr>
          <w:rFonts w:eastAsiaTheme="minorEastAsia"/>
        </w:rPr>
        <w:t xml:space="preserve"> = Inflação projetada para o final do exercício</w:t>
      </w:r>
    </w:p>
    <w:p w14:paraId="74A51AB4" w14:textId="77777777" w:rsidR="00E601D4" w:rsidRDefault="00E601D4" w:rsidP="005222CD">
      <w:r>
        <w:t>O</w:t>
      </w:r>
      <w:r w:rsidRPr="00E601D4">
        <w:t xml:space="preserve"> rendimento da aplicação é recebido pelo investidor ao longo do investimento, por meio do pagamento de juros semestrais e na data de vencimento com resgate do valor de face so</w:t>
      </w:r>
      <w:r>
        <w:t>mado ao último cupom de juros</w:t>
      </w:r>
      <w:r w:rsidRPr="00E601D4">
        <w:t>.</w:t>
      </w:r>
    </w:p>
    <w:p w14:paraId="7CFE5F14" w14:textId="77777777" w:rsidR="00E601D4" w:rsidRPr="00C95BFC" w:rsidRDefault="00E601D4" w:rsidP="005B5E5B">
      <w:pPr>
        <w:spacing w:after="240"/>
        <w:ind w:left="708"/>
        <w:rPr>
          <w:b/>
          <w:i/>
          <w:color w:val="ED7D31"/>
        </w:rPr>
      </w:pPr>
      <w:r w:rsidRPr="00C95BFC">
        <w:rPr>
          <w:b/>
          <w:i/>
          <w:color w:val="ED7D31"/>
        </w:rPr>
        <w:t>Tesouro SELIC – LFT</w:t>
      </w:r>
    </w:p>
    <w:p w14:paraId="45926D7D" w14:textId="11831164" w:rsidR="00E601D4" w:rsidRPr="00EA2DE2" w:rsidRDefault="00E601D4" w:rsidP="005222CD">
      <w:r w:rsidRPr="00E601D4">
        <w:t xml:space="preserve">O Tesouro </w:t>
      </w:r>
      <w:r w:rsidRPr="00EA2DE2">
        <w:t xml:space="preserve">SELIC </w:t>
      </w:r>
      <w:r w:rsidR="00913AD6" w:rsidRPr="00EA2DE2">
        <w:t xml:space="preserve">– LFT </w:t>
      </w:r>
      <w:r w:rsidRPr="00EA2DE2">
        <w:t>possui fluxo de pagamento simples pós-fixado pela variação da taxa SELIC.</w:t>
      </w:r>
    </w:p>
    <w:p w14:paraId="1D7F2B8E" w14:textId="77777777" w:rsidR="00E601D4" w:rsidRDefault="00E601D4" w:rsidP="005222CD">
      <w:r w:rsidRPr="00EA2DE2">
        <w:t>O valor projetado</w:t>
      </w:r>
      <w:r w:rsidRPr="00E601D4">
        <w:t xml:space="preserve"> a ser pago pelo tí</w:t>
      </w:r>
      <w:r>
        <w:t xml:space="preserve">tulo, </w:t>
      </w:r>
      <w:r w:rsidRPr="00E601D4">
        <w:t>é o valor na dat</w:t>
      </w:r>
      <w:r>
        <w:t xml:space="preserve">a base, </w:t>
      </w:r>
      <w:r w:rsidRPr="00E601D4">
        <w:t>corrigido pela taxa acumula</w:t>
      </w:r>
      <w:r>
        <w:t>da da SELIC até o dia de compra,</w:t>
      </w:r>
      <w:r w:rsidRPr="00E601D4">
        <w:t xml:space="preserve"> mais uma correção da taxa SELIC meta para dia da liquidação do título. </w:t>
      </w:r>
      <w:r w:rsidR="00002414">
        <w:t>Sendo seu cálculo:</w:t>
      </w:r>
    </w:p>
    <w:p w14:paraId="32B6A394" w14:textId="77777777" w:rsidR="00002414" w:rsidRPr="00E601D4" w:rsidRDefault="00002414" w:rsidP="00002414">
      <w:pPr>
        <w:spacing w:after="240"/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VNA=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VNA</m:t>
              </m:r>
            </m:e>
            <m:sub>
              <m:r>
                <w:rPr>
                  <w:rFonts w:ascii="Cambria Math" w:hAnsi="Cambria Math"/>
                </w:rPr>
                <m:t>data de compra</m:t>
              </m:r>
            </m:sub>
          </m:sSub>
          <m:r>
            <w:rPr>
              <w:rFonts w:ascii="Cambria Math" w:hAnsi="Cambria Math"/>
            </w:rPr>
            <m:t>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SELIC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meta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</w:rPr>
                <m:t>1/252</m:t>
              </m:r>
            </m:sup>
          </m:sSup>
        </m:oMath>
      </m:oMathPara>
    </w:p>
    <w:p w14:paraId="23AE3910" w14:textId="77777777" w:rsidR="00002414" w:rsidRDefault="00002414" w:rsidP="00E601D4"/>
    <w:p w14:paraId="6DCFDB8C" w14:textId="77777777" w:rsidR="00002414" w:rsidRDefault="00002414" w:rsidP="00E601D4">
      <w:r>
        <w:t>Onde:</w:t>
      </w:r>
    </w:p>
    <w:p w14:paraId="5A2687AA" w14:textId="77777777" w:rsidR="00002414" w:rsidRDefault="00002414" w:rsidP="00B829E0">
      <w:pPr>
        <w:spacing w:after="0"/>
        <w:ind w:left="1134"/>
        <w:rPr>
          <w:rFonts w:eastAsiaTheme="minorEastAsia"/>
        </w:rPr>
      </w:pPr>
      <m:oMath>
        <m:r>
          <w:rPr>
            <w:rFonts w:ascii="Cambria Math" w:hAnsi="Cambria Math"/>
          </w:rPr>
          <m:t>VNA</m:t>
        </m:r>
      </m:oMath>
      <w:r>
        <w:rPr>
          <w:rFonts w:eastAsiaTheme="minorEastAsia"/>
        </w:rPr>
        <w:t xml:space="preserve"> = Valor Nominal Atualizado</w:t>
      </w:r>
    </w:p>
    <w:p w14:paraId="132F5DB3" w14:textId="77777777" w:rsidR="00002414" w:rsidRDefault="00C716C6" w:rsidP="00B829E0">
      <w:pPr>
        <w:spacing w:after="0"/>
        <w:ind w:left="1134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VNA</m:t>
            </m:r>
          </m:e>
          <m:sub>
            <m:r>
              <w:rPr>
                <w:rFonts w:ascii="Cambria Math" w:hAnsi="Cambria Math"/>
              </w:rPr>
              <m:t>data de compra</m:t>
            </m:r>
          </m:sub>
        </m:sSub>
      </m:oMath>
      <w:r w:rsidR="00002414">
        <w:rPr>
          <w:rFonts w:eastAsiaTheme="minorEastAsia"/>
        </w:rPr>
        <w:t xml:space="preserve"> = Valor Nominal Atualizado na data da compra</w:t>
      </w:r>
    </w:p>
    <w:p w14:paraId="1B2A66CF" w14:textId="77777777" w:rsidR="00002414" w:rsidRPr="00E601D4" w:rsidRDefault="00C716C6" w:rsidP="00B829E0">
      <w:pPr>
        <w:spacing w:after="240"/>
        <w:ind w:left="1134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SELIC</m:t>
            </m:r>
          </m:e>
          <m:sub>
            <m:r>
              <w:rPr>
                <w:rFonts w:ascii="Cambria Math" w:hAnsi="Cambria Math"/>
              </w:rPr>
              <m:t>meta</m:t>
            </m:r>
          </m:sub>
        </m:sSub>
      </m:oMath>
      <w:r w:rsidR="00002414">
        <w:rPr>
          <w:rFonts w:eastAsiaTheme="minorEastAsia"/>
        </w:rPr>
        <w:t xml:space="preserve"> = Inflação atualizada</w:t>
      </w:r>
    </w:p>
    <w:p w14:paraId="44B6D151" w14:textId="77777777" w:rsidR="00002414" w:rsidRPr="00C95BFC" w:rsidRDefault="00002414" w:rsidP="005B5E5B">
      <w:pPr>
        <w:spacing w:after="240"/>
        <w:ind w:left="708"/>
        <w:rPr>
          <w:b/>
          <w:i/>
          <w:color w:val="ED7D31"/>
        </w:rPr>
      </w:pPr>
      <w:r w:rsidRPr="00C95BFC">
        <w:rPr>
          <w:b/>
          <w:i/>
          <w:color w:val="ED7D31"/>
        </w:rPr>
        <w:t>Tesouro Prefixado – LTN</w:t>
      </w:r>
    </w:p>
    <w:p w14:paraId="3488DA28" w14:textId="77777777" w:rsidR="00002414" w:rsidRPr="00EA2DE2" w:rsidRDefault="00002414" w:rsidP="005222CD">
      <w:r>
        <w:t xml:space="preserve">A LTN é um título prefixado, ou seja, sua rentabilidade é definida no momento da compra, que não faz pagamentos </w:t>
      </w:r>
      <w:r w:rsidRPr="00EA2DE2">
        <w:t>semestrais. A rentabilidade é calculada pela diferença entre o preço de compra do título e seu valor nominal no vencimento, R$ 1.000,00.</w:t>
      </w:r>
    </w:p>
    <w:p w14:paraId="0126002F" w14:textId="77777777" w:rsidR="00002414" w:rsidRPr="00EA2DE2" w:rsidRDefault="00002414" w:rsidP="005222CD">
      <w:r w:rsidRPr="00EA2DE2">
        <w:t>A partir da diferença entre o preço de compra e o de venda, é possível determinar a taxa de rendimento. Essa taxa pode ser calculada de duas formas:</w:t>
      </w:r>
    </w:p>
    <w:p w14:paraId="29E1C1C6" w14:textId="77777777" w:rsidR="00002414" w:rsidRPr="00002414" w:rsidRDefault="00002414" w:rsidP="0000241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Taxa Efetiva no Período=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Valor de Venda</m:t>
                  </m:r>
                </m:num>
                <m:den>
                  <m:r>
                    <w:rPr>
                      <w:rFonts w:ascii="Cambria Math" w:hAnsi="Cambria Math"/>
                    </w:rPr>
                    <m:t>Valor de Compra</m:t>
                  </m:r>
                </m:den>
              </m:f>
              <m:r>
                <w:rPr>
                  <w:rFonts w:ascii="Cambria Math" w:hAnsi="Cambria Math"/>
                </w:rPr>
                <m:t>-1</m:t>
              </m:r>
            </m:e>
          </m:d>
          <m:r>
            <w:rPr>
              <w:rFonts w:ascii="Cambria Math" w:hAnsi="Cambria Math"/>
            </w:rPr>
            <m:t>*100</m:t>
          </m:r>
        </m:oMath>
      </m:oMathPara>
    </w:p>
    <w:p w14:paraId="54D39355" w14:textId="77777777" w:rsidR="00002414" w:rsidRDefault="005005B1" w:rsidP="00002414">
      <w:pPr>
        <w:rPr>
          <w:rFonts w:eastAsiaTheme="minorEastAsia"/>
        </w:rPr>
      </w:pPr>
      <w:r>
        <w:rPr>
          <w:rFonts w:eastAsiaTheme="minorEastAsia"/>
        </w:rPr>
        <w:t>Onde:</w:t>
      </w:r>
    </w:p>
    <w:p w14:paraId="53C81761" w14:textId="77777777" w:rsidR="005005B1" w:rsidRDefault="005005B1" w:rsidP="004D7769">
      <w:pPr>
        <w:spacing w:after="0"/>
        <w:ind w:left="1134"/>
        <w:rPr>
          <w:rFonts w:eastAsiaTheme="minorEastAsia"/>
        </w:rPr>
      </w:pPr>
      <m:oMath>
        <m:r>
          <w:rPr>
            <w:rFonts w:ascii="Cambria Math" w:hAnsi="Cambria Math"/>
          </w:rPr>
          <w:lastRenderedPageBreak/>
          <m:t>Taxa Efetiva no Período</m:t>
        </m:r>
      </m:oMath>
      <w:r>
        <w:rPr>
          <w:rFonts w:eastAsiaTheme="minorEastAsia"/>
        </w:rPr>
        <w:t xml:space="preserve"> = Taxa negociada no momento da compra</w:t>
      </w:r>
    </w:p>
    <w:p w14:paraId="3E35D12F" w14:textId="77777777" w:rsidR="005005B1" w:rsidRDefault="005005B1" w:rsidP="004D7769">
      <w:pPr>
        <w:spacing w:after="0"/>
        <w:ind w:left="1134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Valor de Venda</m:t>
        </m:r>
      </m:oMath>
      <w:r>
        <w:rPr>
          <w:rFonts w:eastAsiaTheme="minorEastAsia"/>
        </w:rPr>
        <w:t xml:space="preserve"> = Valor de negociação do Título Público na data final</w:t>
      </w:r>
    </w:p>
    <w:p w14:paraId="31A6D5F6" w14:textId="77777777" w:rsidR="005005B1" w:rsidRDefault="005005B1" w:rsidP="00B829E0">
      <w:pPr>
        <w:ind w:left="1134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Valor de Compra</m:t>
        </m:r>
      </m:oMath>
      <w:r>
        <w:rPr>
          <w:rFonts w:eastAsiaTheme="minorEastAsia"/>
        </w:rPr>
        <w:t xml:space="preserve"> = V</w:t>
      </w:r>
      <w:proofErr w:type="spellStart"/>
      <w:r>
        <w:rPr>
          <w:rFonts w:eastAsiaTheme="minorEastAsia"/>
        </w:rPr>
        <w:t>alor</w:t>
      </w:r>
      <w:proofErr w:type="spellEnd"/>
      <w:r>
        <w:rPr>
          <w:rFonts w:eastAsiaTheme="minorEastAsia"/>
        </w:rPr>
        <w:t xml:space="preserve"> de negociação do Título na aquisição</w:t>
      </w:r>
    </w:p>
    <w:p w14:paraId="686B08B2" w14:textId="77777777" w:rsidR="00002414" w:rsidRDefault="00002414" w:rsidP="00C0622A">
      <w:r w:rsidRPr="00002414">
        <w:t>Ou, tendo como base um ano de 252 dias úteis</w:t>
      </w:r>
      <w:r>
        <w:t>:</w:t>
      </w:r>
    </w:p>
    <w:p w14:paraId="6D3975B2" w14:textId="77777777" w:rsidR="00002414" w:rsidRPr="00002414" w:rsidRDefault="00002414" w:rsidP="0000241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Taxa Efetiva no Período=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Valor de Venda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Valor de Compra</m:t>
                          </m:r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252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dias úteis no período</m:t>
                      </m:r>
                    </m:den>
                  </m:f>
                </m:sup>
              </m:sSup>
              <m:r>
                <w:rPr>
                  <w:rFonts w:ascii="Cambria Math" w:hAnsi="Cambria Math"/>
                </w:rPr>
                <m:t>-1</m:t>
              </m:r>
            </m:e>
          </m:d>
          <m:r>
            <w:rPr>
              <w:rFonts w:ascii="Cambria Math" w:hAnsi="Cambria Math"/>
            </w:rPr>
            <m:t>*100</m:t>
          </m:r>
        </m:oMath>
      </m:oMathPara>
    </w:p>
    <w:p w14:paraId="5065101F" w14:textId="77777777" w:rsidR="005005B1" w:rsidRDefault="005005B1" w:rsidP="005005B1">
      <w:r>
        <w:t>Onde:</w:t>
      </w:r>
    </w:p>
    <w:p w14:paraId="502842D0" w14:textId="77777777" w:rsidR="005005B1" w:rsidRDefault="005005B1" w:rsidP="004D7769">
      <w:pPr>
        <w:spacing w:after="0"/>
        <w:ind w:left="1134"/>
        <w:rPr>
          <w:rFonts w:eastAsiaTheme="minorEastAsia"/>
        </w:rPr>
      </w:pPr>
      <m:oMath>
        <m:r>
          <w:rPr>
            <w:rFonts w:ascii="Cambria Math" w:hAnsi="Cambria Math"/>
          </w:rPr>
          <m:t>Taxa Efetiva no Período</m:t>
        </m:r>
      </m:oMath>
      <w:r>
        <w:rPr>
          <w:rFonts w:eastAsiaTheme="minorEastAsia"/>
        </w:rPr>
        <w:t xml:space="preserve"> = Taxa negociada no momento da compra</w:t>
      </w:r>
    </w:p>
    <w:p w14:paraId="3397FF54" w14:textId="77777777" w:rsidR="005005B1" w:rsidRDefault="005005B1" w:rsidP="004D7769">
      <w:pPr>
        <w:spacing w:after="0"/>
        <w:ind w:left="1134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Valor de Venda</m:t>
        </m:r>
      </m:oMath>
      <w:r>
        <w:rPr>
          <w:rFonts w:eastAsiaTheme="minorEastAsia"/>
        </w:rPr>
        <w:t xml:space="preserve"> = Valor de negociação do Título Público na data final</w:t>
      </w:r>
    </w:p>
    <w:p w14:paraId="692B0438" w14:textId="191F8D9A" w:rsidR="005005B1" w:rsidRDefault="005005B1" w:rsidP="00B829E0">
      <w:pPr>
        <w:ind w:left="1134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Valor de Compra</m:t>
        </m:r>
      </m:oMath>
      <w:r>
        <w:rPr>
          <w:rFonts w:eastAsiaTheme="minorEastAsia"/>
        </w:rPr>
        <w:t xml:space="preserve"> = Valor de negociação do Título na aquisição</w:t>
      </w:r>
    </w:p>
    <w:p w14:paraId="6A881E9D" w14:textId="77777777" w:rsidR="00E50478" w:rsidRDefault="00E50478" w:rsidP="00E50478"/>
    <w:p w14:paraId="324DB5DB" w14:textId="77777777" w:rsidR="00002414" w:rsidRPr="00C95BFC" w:rsidRDefault="00002414" w:rsidP="005B5E5B">
      <w:pPr>
        <w:spacing w:after="240"/>
        <w:ind w:left="708"/>
        <w:rPr>
          <w:b/>
          <w:i/>
          <w:color w:val="ED7D31"/>
        </w:rPr>
      </w:pPr>
      <w:r w:rsidRPr="00C95BFC">
        <w:rPr>
          <w:b/>
          <w:i/>
          <w:color w:val="ED7D31"/>
        </w:rPr>
        <w:t>Tesouro Prefixado com Juros Semestrais – NTN-F</w:t>
      </w:r>
    </w:p>
    <w:p w14:paraId="6A466068" w14:textId="77777777" w:rsidR="00002414" w:rsidRDefault="004F4596" w:rsidP="00C0622A">
      <w:r w:rsidRPr="004F4596">
        <w:t>Na NTN-F ocorre uma situação semelhante a NTN-B, com pagamentos semestrais de juros só que com a taxa pré-fixada e pagamento do último cupom ocorre no vencimento do título, juntamente com o resgate do valor de face.</w:t>
      </w:r>
    </w:p>
    <w:p w14:paraId="28ED6B6C" w14:textId="77777777" w:rsidR="00362EC1" w:rsidRDefault="00362EC1" w:rsidP="00C0622A">
      <w:r w:rsidRPr="00362EC1">
        <w:t>A rentabilidade do Tesouro Pré-fixado com Juros Semestrais pode ser calculada segundo a equação:</w:t>
      </w:r>
    </w:p>
    <w:p w14:paraId="373EC874" w14:textId="77777777" w:rsidR="00062EFA" w:rsidRPr="00062EFA" w:rsidRDefault="00062EFA" w:rsidP="0000241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Preço=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r>
                <w:rPr>
                  <w:rFonts w:ascii="Cambria Math" w:hAnsi="Cambria Math"/>
                </w:rPr>
                <m:t xml:space="preserve">1.000*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1,10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0,5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(1+TIR)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DUn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252</m:t>
                              </m:r>
                            </m:den>
                          </m:f>
                        </m:sup>
                      </m:sSup>
                    </m:den>
                  </m:f>
                </m:e>
              </m:d>
            </m:e>
          </m:nary>
          <m:r>
            <w:rPr>
              <w:rFonts w:ascii="Cambria Math" w:hAnsi="Cambria Math"/>
            </w:rPr>
            <m:t xml:space="preserve">+1.000*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(1+TIR)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DUn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252</m:t>
                          </m:r>
                        </m:den>
                      </m:f>
                    </m:sup>
                  </m:sSup>
                </m:den>
              </m:f>
            </m:e>
          </m:d>
        </m:oMath>
      </m:oMathPara>
    </w:p>
    <w:p w14:paraId="7E9CE925" w14:textId="77777777" w:rsidR="00062EFA" w:rsidRDefault="00062EFA" w:rsidP="00C0622A">
      <w:r>
        <w:t xml:space="preserve">Em que </w:t>
      </w:r>
      <w:proofErr w:type="spellStart"/>
      <w:r w:rsidRPr="00AE7725">
        <w:rPr>
          <w:i/>
          <w:iCs/>
        </w:rPr>
        <w:t>DUn</w:t>
      </w:r>
      <w:proofErr w:type="spellEnd"/>
      <w:r w:rsidRPr="00062EFA">
        <w:t xml:space="preserve"> é o número de dias úteis do período e TIR é a rentabilidade anual do título.</w:t>
      </w:r>
    </w:p>
    <w:p w14:paraId="64A93CEE" w14:textId="77777777" w:rsidR="00E430FC" w:rsidRPr="00C95BFC" w:rsidRDefault="00E430FC" w:rsidP="005B5E5B">
      <w:pPr>
        <w:spacing w:after="240"/>
        <w:ind w:left="708"/>
        <w:rPr>
          <w:b/>
          <w:i/>
          <w:color w:val="ED7D31"/>
        </w:rPr>
      </w:pPr>
      <w:r w:rsidRPr="00C95BFC">
        <w:rPr>
          <w:b/>
          <w:i/>
          <w:color w:val="ED7D31"/>
        </w:rPr>
        <w:t>Tesouro IGPM com Juros Semestrais – NTN-C</w:t>
      </w:r>
    </w:p>
    <w:p w14:paraId="4B93667A" w14:textId="77777777" w:rsidR="00E430FC" w:rsidRPr="00E430FC" w:rsidRDefault="00E430FC" w:rsidP="00C0622A">
      <w:r w:rsidRPr="00E430FC">
        <w:t>A NTN-C tem funcionamento parecido com NTN-B, com a diferença no indexador, pois utiliza o IGP-M ao invés de IPCA. Atualmente, as NTN-C não são ofertadas no Tesouro Direto sendo apenas recomprado pelo Tesouro Nacional.</w:t>
      </w:r>
    </w:p>
    <w:p w14:paraId="70CF455D" w14:textId="77777777" w:rsidR="00E430FC" w:rsidRDefault="00E430FC" w:rsidP="00C0622A">
      <w:r w:rsidRPr="00E430FC">
        <w:t>O VNA desse título pode ser calculado pela equação</w:t>
      </w:r>
      <w:r w:rsidR="00BF442A">
        <w:t>:</w:t>
      </w:r>
    </w:p>
    <w:p w14:paraId="5AA4E1F7" w14:textId="77777777" w:rsidR="00BF442A" w:rsidRPr="00E601D4" w:rsidRDefault="00BF442A" w:rsidP="00BF442A">
      <w:pPr>
        <w:spacing w:after="240"/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VNA=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VNA</m:t>
              </m:r>
            </m:e>
            <m:sub>
              <m:r>
                <w:rPr>
                  <w:rFonts w:ascii="Cambria Math" w:hAnsi="Cambria Math"/>
                </w:rPr>
                <m:t>data de compra</m:t>
              </m:r>
            </m:sub>
          </m:sSub>
          <m:r>
            <w:rPr>
              <w:rFonts w:ascii="Cambria Math" w:hAnsi="Cambria Math"/>
            </w:rPr>
            <m:t>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IGPM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projetado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</w:rPr>
                <m:t>N1/N2</m:t>
              </m:r>
            </m:sup>
          </m:sSup>
        </m:oMath>
      </m:oMathPara>
    </w:p>
    <w:p w14:paraId="027DB134" w14:textId="77777777" w:rsidR="00BF442A" w:rsidRDefault="00BF442A" w:rsidP="00C0622A">
      <w:r w:rsidRPr="00BF442A">
        <w:t>Onde N1 representa o número de dias corridos entre data de liquidação e primeiro do mês atual e N2 sendo o número de dias corridos entre o dia primeiro do mês seguinte e o primeiro mês atual.</w:t>
      </w:r>
    </w:p>
    <w:p w14:paraId="2B03BDA8" w14:textId="77777777" w:rsidR="00802D06" w:rsidRDefault="00802D06" w:rsidP="00C0622A">
      <w:r>
        <w:t>Como metodologia final de apuração para os Títulos Públicos que apresentam o valor nominal atualizado, finaliza-se a apuraç</w:t>
      </w:r>
      <w:r w:rsidR="00190244">
        <w:t>ão nos</w:t>
      </w:r>
      <w:r>
        <w:t xml:space="preserve"> seguinte</w:t>
      </w:r>
      <w:r w:rsidR="00190244">
        <w:t>s passos</w:t>
      </w:r>
      <w:r>
        <w:t>:</w:t>
      </w:r>
    </w:p>
    <w:p w14:paraId="498F9E7D" w14:textId="77777777" w:rsidR="00190244" w:rsidRDefault="00190244" w:rsidP="00C0622A">
      <w:r>
        <w:t>(i) identificação da cotação:</w:t>
      </w:r>
    </w:p>
    <w:p w14:paraId="25C004B1" w14:textId="77777777" w:rsidR="00802D06" w:rsidRPr="00190244" w:rsidRDefault="00190244" w:rsidP="00E430F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Cotação=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(1+Taxa)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DU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252</m:t>
                      </m:r>
                    </m:den>
                  </m:f>
                </m:sup>
              </m:sSup>
            </m:den>
          </m:f>
        </m:oMath>
      </m:oMathPara>
    </w:p>
    <w:p w14:paraId="5280C7A0" w14:textId="77777777" w:rsidR="00190244" w:rsidRDefault="00190244" w:rsidP="00E430FC">
      <w:pPr>
        <w:rPr>
          <w:rFonts w:eastAsiaTheme="minorEastAsia"/>
        </w:rPr>
      </w:pPr>
      <w:r>
        <w:rPr>
          <w:rFonts w:eastAsiaTheme="minorEastAsia"/>
        </w:rPr>
        <w:lastRenderedPageBreak/>
        <w:t>Onde:</w:t>
      </w:r>
    </w:p>
    <w:p w14:paraId="31773059" w14:textId="77777777" w:rsidR="00190244" w:rsidRDefault="00190244" w:rsidP="004D7769">
      <w:pPr>
        <w:spacing w:after="0"/>
        <w:ind w:left="1134"/>
        <w:rPr>
          <w:rFonts w:eastAsiaTheme="minorEastAsia"/>
        </w:rPr>
      </w:pPr>
      <m:oMath>
        <m:r>
          <w:rPr>
            <w:rFonts w:ascii="Cambria Math" w:hAnsi="Cambria Math"/>
          </w:rPr>
          <m:t>Cotação</m:t>
        </m:r>
      </m:oMath>
      <w:r>
        <w:rPr>
          <w:rFonts w:eastAsiaTheme="minorEastAsia"/>
        </w:rPr>
        <w:t xml:space="preserve"> = é o valor unitário apresentado em um dia</w:t>
      </w:r>
    </w:p>
    <w:p w14:paraId="44869D66" w14:textId="77777777" w:rsidR="00190244" w:rsidRDefault="00190244" w:rsidP="00B829E0">
      <w:pPr>
        <w:ind w:left="1134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Taxa</m:t>
        </m:r>
      </m:oMath>
      <w:r>
        <w:rPr>
          <w:rFonts w:eastAsiaTheme="minorEastAsia"/>
        </w:rPr>
        <w:t xml:space="preserve"> = taxa de negociação ou compra o Título Público Federal</w:t>
      </w:r>
    </w:p>
    <w:p w14:paraId="7B512E70" w14:textId="77777777" w:rsidR="00190244" w:rsidRDefault="00190244" w:rsidP="00190244">
      <w:r>
        <w:t>(</w:t>
      </w:r>
      <w:proofErr w:type="spellStart"/>
      <w:r>
        <w:t>ii</w:t>
      </w:r>
      <w:proofErr w:type="spellEnd"/>
      <w:r>
        <w:t>) identificação do preço atual:</w:t>
      </w:r>
    </w:p>
    <w:p w14:paraId="746F7D77" w14:textId="77777777" w:rsidR="00190244" w:rsidRPr="00190244" w:rsidRDefault="00190244" w:rsidP="00190244">
      <w:pPr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 xml:space="preserve">Preço= VNA*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Cotação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100</m:t>
                  </m:r>
                </m:den>
              </m:f>
            </m:e>
          </m:d>
        </m:oMath>
      </m:oMathPara>
    </w:p>
    <w:p w14:paraId="742D24F4" w14:textId="77777777" w:rsidR="00190244" w:rsidRPr="00190244" w:rsidRDefault="00190244" w:rsidP="00190244">
      <w:pPr>
        <w:rPr>
          <w:rFonts w:eastAsiaTheme="minorEastAsia"/>
        </w:rPr>
      </w:pPr>
      <w:r>
        <w:rPr>
          <w:rFonts w:eastAsiaTheme="minorEastAsia"/>
        </w:rPr>
        <w:t>Onde:</w:t>
      </w:r>
    </w:p>
    <w:p w14:paraId="02EFA60C" w14:textId="77777777" w:rsidR="00190244" w:rsidRPr="00190244" w:rsidRDefault="00190244" w:rsidP="004D7769">
      <w:pPr>
        <w:spacing w:after="0"/>
        <w:ind w:left="1134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Preço</m:t>
        </m:r>
      </m:oMath>
      <w:r>
        <w:rPr>
          <w:rFonts w:eastAsiaTheme="minorEastAsia"/>
        </w:rPr>
        <w:t xml:space="preserve"> = valor unitário do Título Públ</w:t>
      </w:r>
      <w:proofErr w:type="spellStart"/>
      <w:r>
        <w:rPr>
          <w:rFonts w:eastAsiaTheme="minorEastAsia"/>
        </w:rPr>
        <w:t>ico</w:t>
      </w:r>
      <w:proofErr w:type="spellEnd"/>
      <w:r>
        <w:rPr>
          <w:rFonts w:eastAsiaTheme="minorEastAsia"/>
        </w:rPr>
        <w:t xml:space="preserve"> Federal</w:t>
      </w:r>
    </w:p>
    <w:p w14:paraId="3EC1C226" w14:textId="77777777" w:rsidR="00190244" w:rsidRDefault="00190244" w:rsidP="004D7769">
      <w:pPr>
        <w:spacing w:after="0"/>
        <w:ind w:left="1134"/>
        <w:rPr>
          <w:rFonts w:eastAsiaTheme="minorEastAsia"/>
        </w:rPr>
      </w:pPr>
      <m:oMath>
        <m:r>
          <w:rPr>
            <w:rFonts w:ascii="Cambria Math" w:hAnsi="Cambria Math"/>
          </w:rPr>
          <m:t>VNA</m:t>
        </m:r>
      </m:oMath>
      <w:r>
        <w:rPr>
          <w:rFonts w:eastAsiaTheme="minorEastAsia"/>
        </w:rPr>
        <w:t xml:space="preserve"> = Valor Nominal Atualizado</w:t>
      </w:r>
    </w:p>
    <w:p w14:paraId="2A41F098" w14:textId="030B6CCB" w:rsidR="00190244" w:rsidRDefault="00190244" w:rsidP="00B829E0">
      <w:pPr>
        <w:ind w:left="1134"/>
        <w:rPr>
          <w:rFonts w:eastAsiaTheme="minorEastAsia"/>
        </w:rPr>
      </w:pPr>
      <m:oMath>
        <m:r>
          <w:rPr>
            <w:rFonts w:ascii="Cambria Math" w:hAnsi="Cambria Math"/>
          </w:rPr>
          <m:t>Cotação</m:t>
        </m:r>
      </m:oMath>
      <w:r>
        <w:rPr>
          <w:rFonts w:eastAsiaTheme="minorEastAsia"/>
        </w:rPr>
        <w:t xml:space="preserve"> = é o valor unitário apresentado em um dia</w:t>
      </w:r>
    </w:p>
    <w:p w14:paraId="374C92CE" w14:textId="77777777" w:rsidR="00291C16" w:rsidRDefault="00291C16" w:rsidP="00B829E0">
      <w:pPr>
        <w:ind w:left="1134"/>
        <w:rPr>
          <w:rFonts w:eastAsiaTheme="minorEastAsia"/>
        </w:rPr>
      </w:pPr>
    </w:p>
    <w:p w14:paraId="2E13633C" w14:textId="77777777" w:rsidR="00291C16" w:rsidRDefault="00291C16" w:rsidP="00B829E0">
      <w:pPr>
        <w:ind w:left="1134"/>
        <w:rPr>
          <w:rFonts w:eastAsiaTheme="minorEastAsia"/>
        </w:rPr>
      </w:pPr>
    </w:p>
    <w:p w14:paraId="616C1E73" w14:textId="77777777" w:rsidR="00291C16" w:rsidRDefault="00291C16" w:rsidP="00B829E0">
      <w:pPr>
        <w:ind w:left="1134"/>
        <w:rPr>
          <w:rFonts w:eastAsiaTheme="minorEastAsia"/>
        </w:rPr>
      </w:pPr>
    </w:p>
    <w:p w14:paraId="3EB7B7F5" w14:textId="77777777" w:rsidR="00C13039" w:rsidRPr="00516AB2" w:rsidRDefault="00197355" w:rsidP="00C0622A">
      <w:pPr>
        <w:pStyle w:val="Ttulo3"/>
      </w:pPr>
      <w:bookmarkStart w:id="124" w:name="_Toc118105163"/>
      <w:r w:rsidRPr="00516AB2">
        <w:t>FUNDOS DE INVESTIMENTOS</w:t>
      </w:r>
      <w:bookmarkEnd w:id="124"/>
    </w:p>
    <w:p w14:paraId="29190972" w14:textId="77777777" w:rsidR="00D13FB8" w:rsidRPr="00516AB2" w:rsidRDefault="003F24F1" w:rsidP="00C0622A">
      <w:r w:rsidRPr="00516AB2">
        <w:t>A Instrução CVM 555 dispõe sobre a constituição, a administração, o funcionamento e a divulgação de informações dos fundos de investimento.</w:t>
      </w:r>
    </w:p>
    <w:p w14:paraId="408C3348" w14:textId="77777777" w:rsidR="003F24F1" w:rsidRPr="00516AB2" w:rsidRDefault="003F24F1" w:rsidP="00C0622A">
      <w:r w:rsidRPr="00516AB2">
        <w:t>O investimento em um fundo de investimento, portanto, confere domínio direto sobre fração ideal do patrimônio dado que cada cotista possui propriedade proporcional dos ativos inerentes à composição de cada fundo, sendo inteiramente responsável pelo ônus ou bônus dessa propriedade.</w:t>
      </w:r>
    </w:p>
    <w:p w14:paraId="5D9814F7" w14:textId="77777777" w:rsidR="003F24F1" w:rsidRPr="00516AB2" w:rsidRDefault="00D13FB8" w:rsidP="00C0622A">
      <w:r w:rsidRPr="00516AB2">
        <w:t>Através de divulgação pública e oficial, calcula-se o retorno do fundo de investimentos auferindo o rendimento do período, multiplicado pelo valor atual. Abaixo segue fórmula:</w:t>
      </w:r>
    </w:p>
    <w:p w14:paraId="2E693055" w14:textId="77777777" w:rsidR="00D13FB8" w:rsidRPr="00516AB2" w:rsidRDefault="00D13FB8" w:rsidP="003F24F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retorno=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anterior</m:t>
                  </m:r>
                </m:sub>
              </m:sSub>
            </m:e>
          </m:d>
          <m:r>
            <w:rPr>
              <w:rFonts w:ascii="Cambria Math" w:hAnsi="Cambria Math"/>
            </w:rPr>
            <m:t>* Ren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fundo</m:t>
              </m:r>
            </m:sub>
          </m:sSub>
        </m:oMath>
      </m:oMathPara>
    </w:p>
    <w:p w14:paraId="146FF63D" w14:textId="77777777" w:rsidR="00D13FB8" w:rsidRPr="00516AB2" w:rsidRDefault="00D13FB8" w:rsidP="00C0622A">
      <w:r w:rsidRPr="00516AB2">
        <w:t>Onde:</w:t>
      </w:r>
    </w:p>
    <w:p w14:paraId="26462EF8" w14:textId="77777777" w:rsidR="00D13FB8" w:rsidRPr="00516AB2" w:rsidRDefault="00D13FB8" w:rsidP="00C0622A">
      <w:r w:rsidRPr="00516AB2">
        <w:t xml:space="preserve">Retorno: valor da diferente do </w:t>
      </w:r>
      <w:r w:rsidRPr="00EA2DE2">
        <w:t>montante aportado e o resultado final do</w:t>
      </w:r>
      <w:r w:rsidRPr="00516AB2">
        <w:t xml:space="preserve"> período</w:t>
      </w:r>
    </w:p>
    <w:p w14:paraId="6D84AB65" w14:textId="77777777" w:rsidR="00D13FB8" w:rsidRPr="00516AB2" w:rsidRDefault="00C716C6" w:rsidP="004D7769">
      <w:pPr>
        <w:spacing w:after="0"/>
        <w:ind w:left="1134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anterior</m:t>
            </m:r>
          </m:sub>
        </m:sSub>
      </m:oMath>
      <w:r w:rsidR="00D13FB8" w:rsidRPr="00516AB2">
        <w:rPr>
          <w:rFonts w:eastAsiaTheme="minorEastAsia"/>
        </w:rPr>
        <w:t xml:space="preserve"> </w:t>
      </w:r>
      <w:r w:rsidR="00B137CF" w:rsidRPr="00516AB2">
        <w:rPr>
          <w:rFonts w:eastAsiaTheme="minorEastAsia"/>
        </w:rPr>
        <w:t>: s</w:t>
      </w:r>
      <w:r w:rsidR="00D13FB8" w:rsidRPr="00516AB2">
        <w:rPr>
          <w:rFonts w:eastAsiaTheme="minorEastAsia"/>
        </w:rPr>
        <w:t>aldo inicial do investimento</w:t>
      </w:r>
    </w:p>
    <w:p w14:paraId="15B03097" w14:textId="77777777" w:rsidR="00D13FB8" w:rsidRPr="00516AB2" w:rsidRDefault="00D13FB8" w:rsidP="00B829E0">
      <w:pPr>
        <w:ind w:left="1134"/>
        <w:rPr>
          <w:rFonts w:eastAsiaTheme="minorEastAsia"/>
        </w:rPr>
      </w:pPr>
      <m:oMath>
        <m:r>
          <w:rPr>
            <w:rFonts w:ascii="Cambria Math" w:hAnsi="Cambria Math"/>
          </w:rPr>
          <m:t>Ren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fundo</m:t>
            </m:r>
          </m:sub>
        </m:sSub>
      </m:oMath>
      <w:r w:rsidRPr="00516AB2">
        <w:rPr>
          <w:rFonts w:eastAsiaTheme="minorEastAsia"/>
        </w:rPr>
        <w:t xml:space="preserve"> </w:t>
      </w:r>
      <w:r w:rsidR="00B137CF" w:rsidRPr="00516AB2">
        <w:rPr>
          <w:rFonts w:eastAsiaTheme="minorEastAsia"/>
        </w:rPr>
        <w:t>: r</w:t>
      </w:r>
      <w:r w:rsidRPr="00516AB2">
        <w:rPr>
          <w:rFonts w:eastAsiaTheme="minorEastAsia"/>
        </w:rPr>
        <w:t>endimento do fundo de investimento em um determinado período (em percentual)</w:t>
      </w:r>
    </w:p>
    <w:p w14:paraId="2344BDBD" w14:textId="77777777" w:rsidR="00D13FB8" w:rsidRPr="00516AB2" w:rsidRDefault="00D13FB8" w:rsidP="00C0622A">
      <w:r w:rsidRPr="00516AB2">
        <w:t xml:space="preserve">Para auferir o valor aportado no </w:t>
      </w:r>
      <w:r w:rsidR="00E32297" w:rsidRPr="00516AB2">
        <w:t>fundo</w:t>
      </w:r>
      <w:r w:rsidRPr="00516AB2">
        <w:t xml:space="preserve"> de investimento quanto a sua posição em relação a quantidade de cotas, calcula-se:</w:t>
      </w:r>
    </w:p>
    <w:p w14:paraId="1F2FCDEF" w14:textId="77777777" w:rsidR="00D13FB8" w:rsidRPr="00516AB2" w:rsidRDefault="00C716C6" w:rsidP="00D13FB8">
      <w:pPr>
        <w:spacing w:before="24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atual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cota</m:t>
              </m:r>
            </m:sub>
          </m:sSub>
          <m:r>
            <w:rPr>
              <w:rFonts w:ascii="Cambria Math" w:eastAsiaTheme="minorEastAsia" w:hAnsi="Cambria Math"/>
            </w:rPr>
            <m:t>*Q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cotas</m:t>
              </m:r>
            </m:sub>
          </m:sSub>
        </m:oMath>
      </m:oMathPara>
    </w:p>
    <w:p w14:paraId="07FC0E3D" w14:textId="77777777" w:rsidR="00D13FB8" w:rsidRPr="00516AB2" w:rsidRDefault="00D13FB8" w:rsidP="00D13FB8">
      <w:pPr>
        <w:spacing w:before="240"/>
        <w:rPr>
          <w:rFonts w:eastAsiaTheme="minorEastAsia"/>
        </w:rPr>
      </w:pPr>
      <w:r w:rsidRPr="00516AB2">
        <w:rPr>
          <w:rFonts w:eastAsiaTheme="minorEastAsia"/>
        </w:rPr>
        <w:t>Onde:</w:t>
      </w:r>
    </w:p>
    <w:p w14:paraId="6BBAE76A" w14:textId="77777777" w:rsidR="00D13FB8" w:rsidRPr="00516AB2" w:rsidRDefault="00C716C6" w:rsidP="004D7769">
      <w:pPr>
        <w:spacing w:after="0"/>
        <w:ind w:left="1701"/>
        <w:jc w:val="left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atual</m:t>
            </m:r>
          </m:sub>
        </m:sSub>
      </m:oMath>
      <w:r w:rsidR="00D13FB8" w:rsidRPr="00516AB2">
        <w:rPr>
          <w:rFonts w:eastAsiaTheme="minorEastAsia"/>
        </w:rPr>
        <w:t xml:space="preserve"> : valor </w:t>
      </w:r>
      <w:r w:rsidR="00B137CF" w:rsidRPr="00516AB2">
        <w:rPr>
          <w:rFonts w:eastAsiaTheme="minorEastAsia"/>
        </w:rPr>
        <w:t>atual do investimento</w:t>
      </w:r>
    </w:p>
    <w:p w14:paraId="7C4CC29E" w14:textId="77777777" w:rsidR="00B137CF" w:rsidRPr="00516AB2" w:rsidRDefault="00C716C6" w:rsidP="004D7769">
      <w:pPr>
        <w:spacing w:after="0"/>
        <w:ind w:left="1701"/>
        <w:jc w:val="left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cota</m:t>
            </m:r>
          </m:sub>
        </m:sSub>
      </m:oMath>
      <w:r w:rsidR="00B137CF" w:rsidRPr="00516AB2">
        <w:rPr>
          <w:rFonts w:eastAsiaTheme="minorEastAsia"/>
        </w:rPr>
        <w:t xml:space="preserve"> : valor da cota no dia</w:t>
      </w:r>
    </w:p>
    <w:p w14:paraId="27D32402" w14:textId="77777777" w:rsidR="00B137CF" w:rsidRPr="00516AB2" w:rsidRDefault="00B137CF" w:rsidP="004D7769">
      <w:pPr>
        <w:ind w:left="1701"/>
        <w:jc w:val="left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w:lastRenderedPageBreak/>
          <m:t>Q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cotas</m:t>
            </m:r>
          </m:sub>
        </m:sSub>
      </m:oMath>
      <w:r w:rsidRPr="00516AB2">
        <w:rPr>
          <w:rFonts w:eastAsiaTheme="minorEastAsia"/>
        </w:rPr>
        <w:t xml:space="preserve"> : quantidade de cotas adquiridas mediante aporte no fundo de investimento</w:t>
      </w:r>
    </w:p>
    <w:p w14:paraId="6A1916E6" w14:textId="35A9CCD1" w:rsidR="00CA71C8" w:rsidRDefault="00CA71C8" w:rsidP="00C0622A">
      <w:r w:rsidRPr="00516AB2">
        <w:t xml:space="preserve">Em caso de fundos de investimento imobiliários (FII), onde consta </w:t>
      </w:r>
      <w:r w:rsidR="00EF71C5" w:rsidRPr="00516AB2">
        <w:t xml:space="preserve">ao menos uma </w:t>
      </w:r>
      <w:r w:rsidRPr="00516AB2">
        <w:t xml:space="preserve">negociação de compra e venda no mercado secundário através de seu </w:t>
      </w:r>
      <w:proofErr w:type="spellStart"/>
      <w:r w:rsidRPr="00516AB2">
        <w:rPr>
          <w:i/>
        </w:rPr>
        <w:t>ticker</w:t>
      </w:r>
      <w:proofErr w:type="spellEnd"/>
      <w:r w:rsidRPr="00516AB2">
        <w:rPr>
          <w:i/>
        </w:rPr>
        <w:t xml:space="preserve">; </w:t>
      </w:r>
      <w:r w:rsidRPr="00516AB2">
        <w:t xml:space="preserve">esse será calculado através </w:t>
      </w:r>
      <w:r w:rsidR="00EF71C5" w:rsidRPr="00516AB2">
        <w:t xml:space="preserve">do valor de mercado divulgado no site do </w:t>
      </w:r>
      <w:r w:rsidR="007C100D" w:rsidRPr="00EA2DE2">
        <w:t>B3</w:t>
      </w:r>
      <w:r w:rsidR="00450BFE" w:rsidRPr="00EA2DE2">
        <w:t>,</w:t>
      </w:r>
      <w:r w:rsidR="00EF71C5" w:rsidRPr="00EA2DE2">
        <w:t xml:space="preserve"> caso contrário será ca</w:t>
      </w:r>
      <w:r w:rsidR="00EF71C5" w:rsidRPr="00516AB2">
        <w:t>lculado a valor de cota, através de divulgado no site da Comissão de Valores Mobiliários – CVM.</w:t>
      </w:r>
    </w:p>
    <w:p w14:paraId="5F905BE8" w14:textId="77777777" w:rsidR="00C13039" w:rsidRPr="00516AB2" w:rsidRDefault="00AB69A3" w:rsidP="00C0622A">
      <w:pPr>
        <w:pStyle w:val="Ttulo3"/>
      </w:pPr>
      <w:bookmarkStart w:id="125" w:name="_Toc118105164"/>
      <w:r w:rsidRPr="00516AB2">
        <w:t>TÍTULOS PRIVADOS</w:t>
      </w:r>
      <w:bookmarkEnd w:id="125"/>
    </w:p>
    <w:p w14:paraId="4022B1C4" w14:textId="5B0046A6" w:rsidR="00AB69A3" w:rsidRPr="00516AB2" w:rsidRDefault="00AB69A3" w:rsidP="00C0622A">
      <w:r w:rsidRPr="00EA2DE2">
        <w:t>Título</w:t>
      </w:r>
      <w:r w:rsidR="00BF61DB" w:rsidRPr="00EA2DE2">
        <w:t>s</w:t>
      </w:r>
      <w:r w:rsidRPr="00EA2DE2">
        <w:t xml:space="preserve"> privados são títulos</w:t>
      </w:r>
      <w:r w:rsidRPr="00516AB2">
        <w:t xml:space="preserve"> emitidos por empresas privadas visando à captação de recursos.</w:t>
      </w:r>
    </w:p>
    <w:p w14:paraId="0E0A87EB" w14:textId="77777777" w:rsidR="001C4846" w:rsidRPr="00516AB2" w:rsidRDefault="001C4846" w:rsidP="00C0622A">
      <w:r w:rsidRPr="00516AB2">
        <w:t xml:space="preserve">As operações compromissadas lastreadas em títulos públicos são operações de compra (venda) com compromisso de revenda (recompra). Na partida da operação são definidas a taxa de remuneração e a data de </w:t>
      </w:r>
      <w:r w:rsidRPr="00EA2DE2">
        <w:t xml:space="preserve">vencimento da operação. Para as operações compromissadas sem liquidez diária, a marcação a mercado será em acordo com as taxas praticadas pelo emissor para o prazo do título e, adicionalmente, um </w:t>
      </w:r>
      <w:r w:rsidRPr="00EA2DE2">
        <w:rPr>
          <w:i/>
        </w:rPr>
        <w:t>spread</w:t>
      </w:r>
      <w:r w:rsidRPr="00EA2DE2">
        <w:t xml:space="preserve"> da natureza</w:t>
      </w:r>
      <w:r w:rsidRPr="00516AB2">
        <w:t xml:space="preserve"> da operação. Para as operações compromissadas negociadas com liquidez diária, a marcação a mercado será realizada com base na taxa de revenda/recompra na data.</w:t>
      </w:r>
    </w:p>
    <w:p w14:paraId="450D026F" w14:textId="77777777" w:rsidR="00A13FFF" w:rsidRPr="00516AB2" w:rsidRDefault="00A13FFF" w:rsidP="00C0622A">
      <w:r w:rsidRPr="00516AB2">
        <w:t>Os certificados de depósito bancário (CDBs) são instrumentos de captação de recursos utilizados por instituições financeiras, os quais pagam ao aplicador, ao final do prazo contratado, a remuneração prevista, que em geral é flutuante ou pré-fixada, podendo ser emitidos e registrados na CETIP.</w:t>
      </w:r>
    </w:p>
    <w:p w14:paraId="1F2341C8" w14:textId="77777777" w:rsidR="00A13FFF" w:rsidRPr="00516AB2" w:rsidRDefault="00A13FFF" w:rsidP="00C0622A">
      <w:r w:rsidRPr="00516AB2">
        <w:t xml:space="preserve">Os CDBs pré-fixados são títulos negociados com ágio/deságio em relação à curva de juros em reais. A marcação do CDB é realizada descontando o seu valor futuro pela taxa pré-fixada de mercado acrescida do </w:t>
      </w:r>
      <w:r w:rsidRPr="00516AB2">
        <w:rPr>
          <w:i/>
        </w:rPr>
        <w:t>spread</w:t>
      </w:r>
      <w:r w:rsidRPr="00516AB2">
        <w:t xml:space="preserve"> definido de acordo com as bandas de taxas referentes ao prazo da operação e rating do emissor.</w:t>
      </w:r>
    </w:p>
    <w:p w14:paraId="5A066BFC" w14:textId="5BB9CEF9" w:rsidR="00192908" w:rsidRDefault="00A13FFF" w:rsidP="00C0622A">
      <w:r w:rsidRPr="00516AB2">
        <w:t xml:space="preserve">Os CDBs pós-fixados são títulos atualizados diariamente pelo CDI, ou seja, pela taxa de juros baseada na taxa média dos depósitos interbancários de um dia, calculada e divulgada pela CETIP. Geralmente, o CDI é acrescido de uma taxa ou por percentual </w:t>
      </w:r>
      <w:r w:rsidRPr="00516AB2">
        <w:rPr>
          <w:i/>
        </w:rPr>
        <w:t>spread</w:t>
      </w:r>
      <w:r w:rsidRPr="00516AB2">
        <w:t xml:space="preserve"> contratado na data de emissão do papel. A marcação do CDB é realizada descontando o seu valor futuro projetado pela taxa pré-fixada de mercado acrescida do </w:t>
      </w:r>
      <w:r w:rsidRPr="003D3F78">
        <w:rPr>
          <w:i/>
          <w:iCs/>
        </w:rPr>
        <w:t>spread</w:t>
      </w:r>
      <w:r w:rsidRPr="00516AB2">
        <w:t xml:space="preserve"> definido de acordo com as faixas de taxas em vigor.</w:t>
      </w:r>
    </w:p>
    <w:p w14:paraId="7B973F21" w14:textId="4F3B4180" w:rsidR="007138A9" w:rsidRDefault="007138A9" w:rsidP="00397EA1">
      <w:pPr>
        <w:pStyle w:val="Ttulo3"/>
      </w:pPr>
      <w:bookmarkStart w:id="126" w:name="_Toc118105165"/>
      <w:r>
        <w:t>Tipos de marcação</w:t>
      </w:r>
      <w:bookmarkEnd w:id="126"/>
    </w:p>
    <w:p w14:paraId="43699590" w14:textId="02E793BB" w:rsidR="00192908" w:rsidRDefault="00192908" w:rsidP="00C0622A">
      <w:r>
        <w:t>Os ativos financeiros integrantes das carteiras dos RPPS podem ser classificados como disponíveis para negociação futura ou para venda imediata, ou mantidos até o vencimento, conforme Art</w:t>
      </w:r>
      <w:r w:rsidR="008E3193">
        <w:t>.</w:t>
      </w:r>
      <w:r>
        <w:t xml:space="preserve"> 145 da Portaria</w:t>
      </w:r>
      <w:r w:rsidR="002406EC">
        <w:t xml:space="preserve"> </w:t>
      </w:r>
      <w:r>
        <w:t>1</w:t>
      </w:r>
      <w:r w:rsidR="002406EC">
        <w:t>.</w:t>
      </w:r>
      <w:r>
        <w:t>467/22</w:t>
      </w:r>
      <w:r w:rsidR="00FD3CF5">
        <w:t>.</w:t>
      </w:r>
    </w:p>
    <w:p w14:paraId="166B3640" w14:textId="4DB0A931" w:rsidR="00FD3CF5" w:rsidRDefault="00FD3CF5" w:rsidP="00C0622A">
      <w:r>
        <w:t>Sendo assim a precificação para tais investimentos poderão ser definidas da seguinte forma:</w:t>
      </w:r>
    </w:p>
    <w:p w14:paraId="0D578D5A" w14:textId="63B866DD" w:rsidR="00FD3CF5" w:rsidRDefault="00FD3CF5" w:rsidP="007A06D1">
      <w:pPr>
        <w:ind w:left="708"/>
      </w:pPr>
      <w:r>
        <w:t xml:space="preserve">a) Títulos Públicos: marcação a mercado ou marcação na curva quando o RPPS optar por manter aplicação até o vencimento. </w:t>
      </w:r>
    </w:p>
    <w:p w14:paraId="6E48DC53" w14:textId="5273FE6A" w:rsidR="00FD3CF5" w:rsidRDefault="00FD3CF5" w:rsidP="007A06D1">
      <w:pPr>
        <w:ind w:left="708"/>
      </w:pPr>
      <w:r>
        <w:t>b) F</w:t>
      </w:r>
      <w:r w:rsidR="003C7203">
        <w:t>undos de I</w:t>
      </w:r>
      <w:r>
        <w:t>nvestimento: marcação a mercado ou marcação patrimonial para fundos cujo objetivo é a manutenção a longo prazo e/ou até o final do prazo de encerramento.</w:t>
      </w:r>
    </w:p>
    <w:p w14:paraId="6FAB955B" w14:textId="42168098" w:rsidR="00FD3CF5" w:rsidRDefault="00FD3CF5" w:rsidP="007A06D1">
      <w:pPr>
        <w:ind w:left="708"/>
      </w:pPr>
      <w:r>
        <w:lastRenderedPageBreak/>
        <w:t>c) Títulos Privados: marcação a mercado ou marcação na curva para ativos com carência que o RPPS mantenha até o vencimento.</w:t>
      </w:r>
    </w:p>
    <w:p w14:paraId="0480D32F" w14:textId="77777777" w:rsidR="0050706A" w:rsidRPr="00516AB2" w:rsidRDefault="0050706A" w:rsidP="00276EFD">
      <w:pPr>
        <w:pStyle w:val="Ttulo1"/>
        <w:spacing w:before="360"/>
      </w:pPr>
      <w:bookmarkStart w:id="127" w:name="_Toc118105166"/>
      <w:r w:rsidRPr="00516AB2">
        <w:t>FONTES</w:t>
      </w:r>
      <w:r w:rsidR="007740D7" w:rsidRPr="00516AB2">
        <w:t xml:space="preserve"> PRIMÁRIAS DE INFORMAÇÕES</w:t>
      </w:r>
      <w:bookmarkEnd w:id="127"/>
    </w:p>
    <w:p w14:paraId="1B513ED4" w14:textId="77777777" w:rsidR="00C0622A" w:rsidRPr="00EA2DE2" w:rsidRDefault="007740D7" w:rsidP="00C0622A">
      <w:r w:rsidRPr="00516AB2">
        <w:t xml:space="preserve">Como os procedimentos de marcação a mercado são diários, como norma e sempre que possível, adotam-se preços e cotações </w:t>
      </w:r>
      <w:r w:rsidRPr="00EA2DE2">
        <w:t>das seguintes fontes:</w:t>
      </w:r>
    </w:p>
    <w:p w14:paraId="783BCC97" w14:textId="66FA2C5F" w:rsidR="00C0622A" w:rsidRDefault="007740D7" w:rsidP="00C0622A">
      <w:pPr>
        <w:pStyle w:val="PargrafodaLista"/>
        <w:numPr>
          <w:ilvl w:val="0"/>
          <w:numId w:val="41"/>
        </w:numPr>
      </w:pPr>
      <w:r w:rsidRPr="00EA2DE2">
        <w:t>Títulos Públicos Federais e deb</w:t>
      </w:r>
      <w:r w:rsidR="009C5E35" w:rsidRPr="00EA2DE2">
        <w:t>ê</w:t>
      </w:r>
      <w:r w:rsidRPr="00EA2DE2">
        <w:t>ntures: Taxas Indicativas da ANBIMA</w:t>
      </w:r>
      <w:r w:rsidR="00DE6AEC" w:rsidRPr="00EA2DE2">
        <w:t xml:space="preserve"> – Associação Brasileira das Entidades dos Mercados Financeiros e de Capitais</w:t>
      </w:r>
      <w:r w:rsidR="009A7648" w:rsidRPr="00EA2DE2">
        <w:t xml:space="preserve"> (</w:t>
      </w:r>
      <w:r w:rsidR="00C0622A" w:rsidRPr="00EA2DE2">
        <w:t>https://www.anbima.com.br/pt_br/informar/</w:t>
      </w:r>
      <w:r w:rsidR="00C0622A" w:rsidRPr="00C0622A">
        <w:t>taxas-de-titulos-publicos.htm</w:t>
      </w:r>
      <w:r w:rsidR="009A7648" w:rsidRPr="00516AB2">
        <w:t>);</w:t>
      </w:r>
    </w:p>
    <w:p w14:paraId="704235CD" w14:textId="77777777" w:rsidR="00C0622A" w:rsidRDefault="00C0622A" w:rsidP="00C0622A">
      <w:pPr>
        <w:pStyle w:val="PargrafodaLista"/>
      </w:pPr>
    </w:p>
    <w:p w14:paraId="22F8A4F0" w14:textId="4CCC7E20" w:rsidR="00C0622A" w:rsidRDefault="007740D7" w:rsidP="00C0622A">
      <w:pPr>
        <w:pStyle w:val="PargrafodaLista"/>
        <w:numPr>
          <w:ilvl w:val="0"/>
          <w:numId w:val="41"/>
        </w:numPr>
      </w:pPr>
      <w:r w:rsidRPr="00516AB2">
        <w:t>C</w:t>
      </w:r>
      <w:r w:rsidR="00DE6AEC" w:rsidRPr="00516AB2">
        <w:t>otas de fundos de investimentos: Comissão de Valores Mobiliários – CVM</w:t>
      </w:r>
      <w:r w:rsidR="009A7648" w:rsidRPr="00516AB2">
        <w:t xml:space="preserve"> (</w:t>
      </w:r>
      <w:r w:rsidR="00C0622A" w:rsidRPr="00C0622A">
        <w:t>http://www.cvm.gov.br/menu/regulados/fundos/consultas/fundos.html</w:t>
      </w:r>
      <w:r w:rsidR="00D11EC2">
        <w:t>);</w:t>
      </w:r>
    </w:p>
    <w:p w14:paraId="44C7333F" w14:textId="77777777" w:rsidR="00C0622A" w:rsidRDefault="00C0622A" w:rsidP="00C0622A">
      <w:pPr>
        <w:pStyle w:val="PargrafodaLista"/>
      </w:pPr>
    </w:p>
    <w:p w14:paraId="29653F5F" w14:textId="3FB427AB" w:rsidR="00C0622A" w:rsidRDefault="00C95BFC" w:rsidP="00C0622A">
      <w:pPr>
        <w:pStyle w:val="PargrafodaLista"/>
        <w:numPr>
          <w:ilvl w:val="0"/>
          <w:numId w:val="41"/>
        </w:numPr>
      </w:pPr>
      <w:r>
        <w:t xml:space="preserve">Valor Nominal Atualizado: </w:t>
      </w:r>
      <w:r w:rsidR="00927762">
        <w:t xml:space="preserve">Valor Nominal Atualizado ANBIMA - </w:t>
      </w:r>
      <w:r w:rsidR="00927762" w:rsidRPr="00516AB2">
        <w:t>Associação Brasileira das Entidades dos Mercados Financeiros e de Capitais</w:t>
      </w:r>
      <w:r w:rsidR="00927762">
        <w:t xml:space="preserve"> (</w:t>
      </w:r>
      <w:r w:rsidR="00C0622A" w:rsidRPr="00C0622A">
        <w:t>https://www.anbima.com.br/pt_br/informar/valor-nominal-atualizado.htm</w:t>
      </w:r>
      <w:r w:rsidR="00927762">
        <w:t>)</w:t>
      </w:r>
      <w:r w:rsidR="00D11EC2">
        <w:t>;</w:t>
      </w:r>
    </w:p>
    <w:p w14:paraId="681F20F6" w14:textId="77777777" w:rsidR="00C0622A" w:rsidRDefault="00C0622A" w:rsidP="00C0622A">
      <w:pPr>
        <w:pStyle w:val="PargrafodaLista"/>
      </w:pPr>
    </w:p>
    <w:p w14:paraId="5DA74D40" w14:textId="77777777" w:rsidR="00C0622A" w:rsidRDefault="007740D7" w:rsidP="00C0622A">
      <w:pPr>
        <w:pStyle w:val="PargrafodaLista"/>
        <w:numPr>
          <w:ilvl w:val="0"/>
          <w:numId w:val="41"/>
        </w:numPr>
      </w:pPr>
      <w:r w:rsidRPr="00516AB2">
        <w:t>Ações, opções sobre ações líquidas e termo de ações: BM&amp;FBOVESPA</w:t>
      </w:r>
      <w:r w:rsidR="009A7648" w:rsidRPr="00516AB2">
        <w:t xml:space="preserve"> (</w:t>
      </w:r>
      <w:r w:rsidR="00132C38" w:rsidRPr="00516AB2">
        <w:t>http://www.bmfbovespa.com.br/pt_br/)</w:t>
      </w:r>
      <w:r w:rsidR="00DE6AEC" w:rsidRPr="00516AB2">
        <w:t>; e</w:t>
      </w:r>
    </w:p>
    <w:p w14:paraId="764B800A" w14:textId="77777777" w:rsidR="00C0622A" w:rsidRDefault="00C0622A" w:rsidP="00C0622A">
      <w:pPr>
        <w:pStyle w:val="PargrafodaLista"/>
      </w:pPr>
    </w:p>
    <w:p w14:paraId="3EE988F6" w14:textId="45976FC2" w:rsidR="00DE6AEC" w:rsidRPr="00516AB2" w:rsidRDefault="00DE6AEC" w:rsidP="00C0622A">
      <w:pPr>
        <w:pStyle w:val="PargrafodaLista"/>
        <w:numPr>
          <w:ilvl w:val="0"/>
          <w:numId w:val="41"/>
        </w:numPr>
      </w:pPr>
      <w:r w:rsidRPr="00516AB2">
        <w:t>Certificado de Depósito Bancário – CDB: CETIP</w:t>
      </w:r>
      <w:r w:rsidR="00C95BFC">
        <w:t xml:space="preserve"> (</w:t>
      </w:r>
      <w:r w:rsidR="00E61597" w:rsidRPr="00E61597">
        <w:t>http://www.b3.com.br/pt_br/</w:t>
      </w:r>
      <w:r w:rsidR="00C95BFC">
        <w:t>).</w:t>
      </w:r>
    </w:p>
    <w:p w14:paraId="20380C8D" w14:textId="77777777" w:rsidR="00B60B7D" w:rsidRPr="00516AB2" w:rsidRDefault="00B60B7D" w:rsidP="00132C38">
      <w:r w:rsidRPr="00516AB2">
        <w:br w:type="page"/>
      </w:r>
    </w:p>
    <w:p w14:paraId="30ACA725" w14:textId="07C322D9" w:rsidR="008672F9" w:rsidRDefault="008672F9" w:rsidP="00C0622A">
      <w:pPr>
        <w:pStyle w:val="Ttulo1"/>
        <w:spacing w:before="360"/>
      </w:pPr>
      <w:bookmarkStart w:id="128" w:name="_Toc118105167"/>
      <w:r>
        <w:lastRenderedPageBreak/>
        <w:t xml:space="preserve">POLÍTICA DE </w:t>
      </w:r>
      <w:r w:rsidR="00570830">
        <w:t xml:space="preserve">ACOMPANHAMENTO </w:t>
      </w:r>
      <w:r>
        <w:t>E AVALIAÇÃO</w:t>
      </w:r>
      <w:bookmarkEnd w:id="128"/>
    </w:p>
    <w:p w14:paraId="2CA89E42" w14:textId="3C654683" w:rsidR="00D07404" w:rsidRDefault="008672F9" w:rsidP="00C0622A">
      <w:r>
        <w:t xml:space="preserve">Para o acompanhamento e avaliação </w:t>
      </w:r>
      <w:r w:rsidR="009F04A9">
        <w:t xml:space="preserve">dos resultados </w:t>
      </w:r>
      <w:r>
        <w:t>d</w:t>
      </w:r>
      <w:r w:rsidR="00DD14C8">
        <w:t xml:space="preserve">a carteira de investimento </w:t>
      </w:r>
      <w:r w:rsidR="00B75343">
        <w:t xml:space="preserve">e </w:t>
      </w:r>
      <w:r w:rsidR="009F04A9">
        <w:t xml:space="preserve">de seus respectivos </w:t>
      </w:r>
      <w:r>
        <w:t>fundos de investimentos</w:t>
      </w:r>
      <w:r w:rsidR="00DD14C8">
        <w:t xml:space="preserve">, </w:t>
      </w:r>
      <w:r>
        <w:t>serão adotados metodologias e critérios que atendam conjuntamente as normativas expedidas pelos órg</w:t>
      </w:r>
      <w:r w:rsidR="00D07404">
        <w:t xml:space="preserve">ãos </w:t>
      </w:r>
      <w:r w:rsidR="00891C7F">
        <w:t>fiscalizadores e reguladores</w:t>
      </w:r>
      <w:r w:rsidR="00D07404">
        <w:t>.</w:t>
      </w:r>
    </w:p>
    <w:p w14:paraId="0F1F096C" w14:textId="1ADC79F3" w:rsidR="00DD14C8" w:rsidRDefault="00D07404" w:rsidP="00C0622A">
      <w:r>
        <w:t>Como forma de acompanhamento, ser</w:t>
      </w:r>
      <w:r w:rsidR="00F95781">
        <w:t>á</w:t>
      </w:r>
      <w:r>
        <w:t xml:space="preserve"> </w:t>
      </w:r>
      <w:r w:rsidR="000051A8">
        <w:t>obrigatório</w:t>
      </w:r>
      <w:r>
        <w:t xml:space="preserve"> a elaboração de relatórios mensais, que contemple no mínimo informações sobre a rentabilidade e riscos das diversas modalidades de operações realizadas </w:t>
      </w:r>
      <w:r w:rsidR="000051A8">
        <w:t>quanto as</w:t>
      </w:r>
      <w:r>
        <w:t xml:space="preserve"> aplicaç</w:t>
      </w:r>
      <w:r w:rsidR="007C6218">
        <w:t>ões</w:t>
      </w:r>
      <w:r>
        <w:t xml:space="preserve"> dos recursos do</w:t>
      </w:r>
      <w:r w:rsidR="007355B5">
        <w:t xml:space="preserve"> </w:t>
      </w:r>
      <w:r w:rsidR="00163DF1">
        <w:rPr>
          <w:b/>
          <w:bCs/>
          <w:color w:val="000000" w:themeColor="text1"/>
          <w:szCs w:val="20"/>
        </w:rPr>
        <w:t>MUNICÍ</w:t>
      </w:r>
      <w:r w:rsidR="00163DF1" w:rsidRPr="006053F5">
        <w:rPr>
          <w:b/>
          <w:bCs/>
          <w:color w:val="000000" w:themeColor="text1"/>
          <w:szCs w:val="20"/>
        </w:rPr>
        <w:t>PIO</w:t>
      </w:r>
      <w:r w:rsidR="00163DF1" w:rsidRPr="00716D43">
        <w:rPr>
          <w:b/>
          <w:color w:val="000000" w:themeColor="text1"/>
        </w:rPr>
        <w:t xml:space="preserve"> </w:t>
      </w:r>
      <w:r w:rsidR="00A54E10" w:rsidRPr="00716D43">
        <w:rPr>
          <w:b/>
          <w:color w:val="000000" w:themeColor="text1"/>
        </w:rPr>
        <w:t>DE GUARACI</w:t>
      </w:r>
      <w:r w:rsidR="000051A8">
        <w:t xml:space="preserve">, bem como a </w:t>
      </w:r>
      <w:r>
        <w:t xml:space="preserve">aderência das alocações e </w:t>
      </w:r>
      <w:r w:rsidR="008B150C">
        <w:t xml:space="preserve">dos </w:t>
      </w:r>
      <w:r>
        <w:t xml:space="preserve">processos decisórios </w:t>
      </w:r>
      <w:r w:rsidR="008B150C">
        <w:t>relacionados</w:t>
      </w:r>
      <w:r w:rsidR="00DD14C8">
        <w:t>.</w:t>
      </w:r>
    </w:p>
    <w:p w14:paraId="7E52A54E" w14:textId="1E995B0F" w:rsidR="00332EC8" w:rsidRDefault="007C6218" w:rsidP="00C0622A">
      <w:r>
        <w:t>O referido relatório mensal deverá ser acompanhado d</w:t>
      </w:r>
      <w:r w:rsidR="008655B6">
        <w:t>e</w:t>
      </w:r>
      <w:r>
        <w:t xml:space="preserve"> parecer do Comitê de Investimentos</w:t>
      </w:r>
      <w:r w:rsidR="00734A25">
        <w:t xml:space="preserve">, </w:t>
      </w:r>
      <w:r w:rsidR="00AA122B">
        <w:t>que</w:t>
      </w:r>
      <w:r w:rsidR="00734A25">
        <w:t xml:space="preserve"> deverá apresentar a análise dos resultados obtidos no mês de referência</w:t>
      </w:r>
      <w:r w:rsidR="00AA122B">
        <w:t>, inclusive</w:t>
      </w:r>
      <w:r w:rsidR="00734A25">
        <w:t xml:space="preserve"> suas considerações e deliberações.</w:t>
      </w:r>
    </w:p>
    <w:p w14:paraId="2F393E11" w14:textId="34EC73CB" w:rsidR="00D07404" w:rsidRDefault="00332EC8" w:rsidP="00C0622A">
      <w:r>
        <w:t xml:space="preserve">O Comitê de Investimentos deverá </w:t>
      </w:r>
      <w:r w:rsidR="00D07404">
        <w:t>apresentar no mínimo o plano de ação com o cronograma das atividades a serem desempenhadas relativas à gestão dos recursos.</w:t>
      </w:r>
    </w:p>
    <w:p w14:paraId="06D96E70" w14:textId="77777777" w:rsidR="003C1058" w:rsidRDefault="00524372" w:rsidP="00C0622A">
      <w:r>
        <w:t>Deverão</w:t>
      </w:r>
      <w:r w:rsidR="00E3009F">
        <w:t xml:space="preserve"> fazer parte dos documentos do processo de acompanhamento e avaliação:</w:t>
      </w:r>
    </w:p>
    <w:p w14:paraId="3E560168" w14:textId="77777777" w:rsidR="00C0622A" w:rsidRDefault="003C1058" w:rsidP="00C0622A">
      <w:pPr>
        <w:pStyle w:val="PargrafodaLista"/>
        <w:numPr>
          <w:ilvl w:val="0"/>
          <w:numId w:val="42"/>
        </w:numPr>
      </w:pPr>
      <w:r w:rsidRPr="003C1058">
        <w:t>Editorial sobre o panorama econômico relativo à semana e mês anterior</w:t>
      </w:r>
      <w:r>
        <w:t>;</w:t>
      </w:r>
    </w:p>
    <w:p w14:paraId="58C72902" w14:textId="77777777" w:rsidR="00C0622A" w:rsidRDefault="00C0622A" w:rsidP="00EA2DE2">
      <w:pPr>
        <w:pStyle w:val="PargrafodaLista"/>
        <w:jc w:val="center"/>
      </w:pPr>
    </w:p>
    <w:p w14:paraId="29A33098" w14:textId="7F513820" w:rsidR="00C0622A" w:rsidRPr="00671E7A" w:rsidRDefault="006E0996" w:rsidP="0076765F">
      <w:pPr>
        <w:pStyle w:val="PargrafodaLista"/>
        <w:numPr>
          <w:ilvl w:val="0"/>
          <w:numId w:val="42"/>
        </w:numPr>
      </w:pPr>
      <w:r w:rsidRPr="00671E7A">
        <w:t xml:space="preserve">Relatório Mensal que contém: análise qualitativa da situação da carteira em relação à composição, rentabilidade, enquadramentos, aderência à Política de Investimentos, riscos; análise quantitativa baseada em dados históricos e ilustrada por comparativos gráficos; cumprindo a exigência da Portaria </w:t>
      </w:r>
      <w:r w:rsidR="003C5D74" w:rsidRPr="00671E7A">
        <w:t>1</w:t>
      </w:r>
      <w:r w:rsidR="00324801">
        <w:t>.</w:t>
      </w:r>
      <w:r w:rsidR="003C5D74" w:rsidRPr="00671E7A">
        <w:t>467, de 02 de junho de 2022.</w:t>
      </w:r>
    </w:p>
    <w:p w14:paraId="748C0644" w14:textId="77777777" w:rsidR="00C0622A" w:rsidRPr="00671E7A" w:rsidRDefault="00C0622A" w:rsidP="00C0622A">
      <w:pPr>
        <w:pStyle w:val="PargrafodaLista"/>
      </w:pPr>
    </w:p>
    <w:p w14:paraId="60D4F085" w14:textId="7B802705" w:rsidR="00C0622A" w:rsidRPr="00671E7A" w:rsidRDefault="00220D81" w:rsidP="00C0622A">
      <w:pPr>
        <w:pStyle w:val="PargrafodaLista"/>
        <w:numPr>
          <w:ilvl w:val="0"/>
          <w:numId w:val="42"/>
        </w:numPr>
      </w:pPr>
      <w:r w:rsidRPr="00671E7A">
        <w:t xml:space="preserve">Relatório Trimestral </w:t>
      </w:r>
      <w:r w:rsidR="00F725C2" w:rsidRPr="00671E7A">
        <w:t xml:space="preserve">que contém: análise sobre a rentabilidade e risco das diversas modalidades de operações realizadas pelo RPPS, com títulos, valores mobiliários e demais ativos alocados nos segmentos de renda fixa, renda variável, investimentos estruturados e investimentos no exterior, cumprindo a exigência da Portaria </w:t>
      </w:r>
      <w:r w:rsidR="003C5D74" w:rsidRPr="00671E7A">
        <w:t>1</w:t>
      </w:r>
      <w:r w:rsidR="00324801">
        <w:t>.</w:t>
      </w:r>
      <w:r w:rsidR="003C5D74" w:rsidRPr="00671E7A">
        <w:t>467</w:t>
      </w:r>
      <w:r w:rsidR="00F725C2" w:rsidRPr="00671E7A">
        <w:t xml:space="preserve">, de </w:t>
      </w:r>
      <w:r w:rsidR="003C5D74" w:rsidRPr="00671E7A">
        <w:t>02</w:t>
      </w:r>
      <w:r w:rsidR="00F725C2" w:rsidRPr="00671E7A">
        <w:t xml:space="preserve"> de </w:t>
      </w:r>
      <w:r w:rsidR="003C5D74" w:rsidRPr="00671E7A">
        <w:t>junho</w:t>
      </w:r>
      <w:r w:rsidR="00F725C2" w:rsidRPr="00671E7A">
        <w:t xml:space="preserve"> de 20</w:t>
      </w:r>
      <w:r w:rsidR="003C5D74" w:rsidRPr="00671E7A">
        <w:t>22.</w:t>
      </w:r>
    </w:p>
    <w:p w14:paraId="641BFC0D" w14:textId="77777777" w:rsidR="00C0622A" w:rsidRDefault="00C0622A" w:rsidP="00C0622A">
      <w:pPr>
        <w:pStyle w:val="PargrafodaLista"/>
      </w:pPr>
    </w:p>
    <w:p w14:paraId="12CBA398" w14:textId="77777777" w:rsidR="00C0622A" w:rsidRDefault="00B25706" w:rsidP="00C0622A">
      <w:pPr>
        <w:pStyle w:val="PargrafodaLista"/>
        <w:numPr>
          <w:ilvl w:val="0"/>
          <w:numId w:val="42"/>
        </w:numPr>
      </w:pPr>
      <w:r w:rsidRPr="00B25706">
        <w:t>Relatório de Análise de Fundos de Investimentos classificados a ICVM 555/2014 que contém: análise de regulamento, enquadramento, prospecto (quando houver) e parecer opinativo;</w:t>
      </w:r>
    </w:p>
    <w:p w14:paraId="294FCBB3" w14:textId="77777777" w:rsidR="00C0622A" w:rsidRDefault="00C0622A" w:rsidP="00C0622A">
      <w:pPr>
        <w:pStyle w:val="PargrafodaLista"/>
      </w:pPr>
    </w:p>
    <w:p w14:paraId="36C4E250" w14:textId="77777777" w:rsidR="00C0622A" w:rsidRDefault="0064646F" w:rsidP="00C0622A">
      <w:pPr>
        <w:pStyle w:val="PargrafodaLista"/>
        <w:numPr>
          <w:ilvl w:val="0"/>
          <w:numId w:val="42"/>
        </w:numPr>
      </w:pPr>
      <w:r w:rsidRPr="0064646F">
        <w:t>Relatório de Análise de Fundos de Investimentos classificados como “Estruturados” que contém: análise de regulamento, enquadramento, prospecto (quando houver) e parecer opinativo</w:t>
      </w:r>
      <w:r w:rsidR="003618CE">
        <w:t xml:space="preserve"> e</w:t>
      </w:r>
    </w:p>
    <w:p w14:paraId="3A2AF519" w14:textId="77777777" w:rsidR="00C0622A" w:rsidRDefault="00C0622A" w:rsidP="00C0622A">
      <w:pPr>
        <w:pStyle w:val="PargrafodaLista"/>
      </w:pPr>
    </w:p>
    <w:p w14:paraId="42063D91" w14:textId="777DF8F6" w:rsidR="0064646F" w:rsidRDefault="001C12E3" w:rsidP="00C0622A">
      <w:pPr>
        <w:pStyle w:val="PargrafodaLista"/>
        <w:numPr>
          <w:ilvl w:val="0"/>
          <w:numId w:val="42"/>
        </w:numPr>
      </w:pPr>
      <w:r>
        <w:t xml:space="preserve">Relatório de Análise da Carteira de Investimentos </w:t>
      </w:r>
      <w:r w:rsidR="008C4BD0">
        <w:t xml:space="preserve">com parecer opinativo sobre </w:t>
      </w:r>
      <w:r w:rsidR="003618CE">
        <w:t>estratégia tática.</w:t>
      </w:r>
    </w:p>
    <w:p w14:paraId="179BD3EF" w14:textId="245F19F0" w:rsidR="009862CC" w:rsidRDefault="009862CC">
      <w:pPr>
        <w:jc w:val="left"/>
      </w:pPr>
      <w:r>
        <w:br w:type="page"/>
      </w:r>
    </w:p>
    <w:p w14:paraId="4E9717D3" w14:textId="717FA669" w:rsidR="00FA2C71" w:rsidRDefault="00FA2C71" w:rsidP="00C0622A">
      <w:pPr>
        <w:pStyle w:val="Ttulo1"/>
        <w:spacing w:before="360"/>
      </w:pPr>
      <w:bookmarkStart w:id="129" w:name="_Toc118105168"/>
      <w:r>
        <w:lastRenderedPageBreak/>
        <w:t>PLANO DE CONTINGÊNCIA</w:t>
      </w:r>
      <w:bookmarkEnd w:id="129"/>
    </w:p>
    <w:p w14:paraId="7170F023" w14:textId="2F3CAC21" w:rsidR="00DF0B23" w:rsidRDefault="00DF0B23" w:rsidP="00C0622A">
      <w:r>
        <w:t>O Plano de Contingência estabelecido, contempla</w:t>
      </w:r>
      <w:r w:rsidR="00242905">
        <w:t xml:space="preserve"> a abrangência exigida pela Resolução CMN n° </w:t>
      </w:r>
      <w:r w:rsidR="003618CE">
        <w:t>4.963/2021</w:t>
      </w:r>
      <w:r w:rsidR="00242905">
        <w:t xml:space="preserve">, em seu Art. 4°, inciso VIII, ou seja, entende-se por “contingência” no âmbito desta Política de Investimentos a </w:t>
      </w:r>
      <w:r w:rsidR="00242905" w:rsidRPr="00DE006D">
        <w:rPr>
          <w:b/>
        </w:rPr>
        <w:t xml:space="preserve">excessiva exposição a riscos </w:t>
      </w:r>
      <w:r w:rsidR="005D016A">
        <w:rPr>
          <w:b/>
        </w:rPr>
        <w:t>e</w:t>
      </w:r>
      <w:r w:rsidR="00242905" w:rsidRPr="00DE006D">
        <w:rPr>
          <w:b/>
        </w:rPr>
        <w:t xml:space="preserve"> potenciais perdas dos recursos</w:t>
      </w:r>
      <w:r w:rsidR="00242905">
        <w:t>.</w:t>
      </w:r>
    </w:p>
    <w:p w14:paraId="6264FCF5" w14:textId="08C38666" w:rsidR="00242905" w:rsidRDefault="0005223A" w:rsidP="00C0622A">
      <w:r>
        <w:t>Com a identificação clara das contingências</w:t>
      </w:r>
      <w:r w:rsidR="00A264E5">
        <w:t xml:space="preserve">, </w:t>
      </w:r>
      <w:r>
        <w:t>chegamos ao desenvolvimento do plano no processo d</w:t>
      </w:r>
      <w:r w:rsidR="00DF0B23">
        <w:t>os</w:t>
      </w:r>
      <w:r>
        <w:t xml:space="preserve"> investimentos, que abrange não somente a Diretoria Executiva</w:t>
      </w:r>
      <w:r w:rsidR="00927C51">
        <w:t xml:space="preserve"> e Gestor dos Recursos</w:t>
      </w:r>
      <w:r>
        <w:t xml:space="preserve">, como </w:t>
      </w:r>
      <w:r w:rsidR="00927C51">
        <w:t xml:space="preserve">também </w:t>
      </w:r>
      <w:r>
        <w:t>o Comitê de Investimentos e o Conselho Deliberativo.</w:t>
      </w:r>
    </w:p>
    <w:p w14:paraId="5398BDF6" w14:textId="6DF236CD" w:rsidR="0005223A" w:rsidRDefault="0005223A" w:rsidP="00276EFD">
      <w:pPr>
        <w:pStyle w:val="Ttulo3"/>
      </w:pPr>
      <w:bookmarkStart w:id="130" w:name="_Toc118105169"/>
      <w:r>
        <w:t>EXPOSIÇÃO A RISCO</w:t>
      </w:r>
      <w:bookmarkEnd w:id="130"/>
    </w:p>
    <w:p w14:paraId="33351AF7" w14:textId="09A2F0AA" w:rsidR="0021686F" w:rsidRDefault="008E4EE1" w:rsidP="00C0622A">
      <w:r>
        <w:t xml:space="preserve">Entende-se como </w:t>
      </w:r>
      <w:r w:rsidR="00DF0B23">
        <w:t>Exposição a Risco</w:t>
      </w:r>
      <w:r>
        <w:t xml:space="preserve"> os investimentos que direcionam a carteira de investimentos do </w:t>
      </w:r>
      <w:r w:rsidR="00163DF1">
        <w:rPr>
          <w:b/>
          <w:bCs/>
          <w:color w:val="000000" w:themeColor="text1"/>
          <w:szCs w:val="20"/>
        </w:rPr>
        <w:t>MUNICÍ</w:t>
      </w:r>
      <w:r w:rsidR="00163DF1" w:rsidRPr="006053F5">
        <w:rPr>
          <w:b/>
          <w:bCs/>
          <w:color w:val="000000" w:themeColor="text1"/>
          <w:szCs w:val="20"/>
        </w:rPr>
        <w:t>PIO</w:t>
      </w:r>
      <w:r w:rsidR="00163DF1" w:rsidRPr="00716D43">
        <w:rPr>
          <w:b/>
          <w:color w:val="000000" w:themeColor="text1"/>
        </w:rPr>
        <w:t xml:space="preserve"> </w:t>
      </w:r>
      <w:r w:rsidR="00A54E10" w:rsidRPr="00716D43">
        <w:rPr>
          <w:b/>
          <w:color w:val="000000" w:themeColor="text1"/>
        </w:rPr>
        <w:t>DE GUARACI</w:t>
      </w:r>
      <w:r w:rsidR="00A54E10" w:rsidRPr="00516AB2">
        <w:t xml:space="preserve"> </w:t>
      </w:r>
      <w:r w:rsidRPr="00435A6C">
        <w:t>para</w:t>
      </w:r>
      <w:r>
        <w:t xml:space="preserve"> o não cumprimento dos limites, requisitos e normas estabelecidos aos R</w:t>
      </w:r>
      <w:r w:rsidR="0053304F">
        <w:t>egimes Próprios de Previdência Social</w:t>
      </w:r>
      <w:r>
        <w:t>.</w:t>
      </w:r>
    </w:p>
    <w:p w14:paraId="13EB3B71" w14:textId="0FF37715" w:rsidR="008E4EE1" w:rsidRDefault="008E4EE1" w:rsidP="00C0622A">
      <w:r>
        <w:t>O não cumprimento dos limites, requisitos e normas estabelecidos, podem ser classificados como sendo:</w:t>
      </w:r>
    </w:p>
    <w:p w14:paraId="7301F9EA" w14:textId="77777777" w:rsidR="005B5E5B" w:rsidRDefault="008E4EE1" w:rsidP="000D5D97">
      <w:pPr>
        <w:pStyle w:val="PargrafodaLista"/>
        <w:numPr>
          <w:ilvl w:val="0"/>
          <w:numId w:val="7"/>
        </w:numPr>
      </w:pPr>
      <w:proofErr w:type="spellStart"/>
      <w:r>
        <w:t>Desenquadramento</w:t>
      </w:r>
      <w:proofErr w:type="spellEnd"/>
      <w:r>
        <w:t xml:space="preserve"> da </w:t>
      </w:r>
      <w:r w:rsidR="00953BF2">
        <w:t>C</w:t>
      </w:r>
      <w:r>
        <w:t xml:space="preserve">arteira de </w:t>
      </w:r>
      <w:r w:rsidR="00953BF2">
        <w:t>I</w:t>
      </w:r>
      <w:r>
        <w:t>nvestimentos;</w:t>
      </w:r>
    </w:p>
    <w:p w14:paraId="4FEEF7C2" w14:textId="77777777" w:rsidR="005B5E5B" w:rsidRDefault="008E4EE1" w:rsidP="000D5D97">
      <w:pPr>
        <w:pStyle w:val="PargrafodaLista"/>
        <w:numPr>
          <w:ilvl w:val="0"/>
          <w:numId w:val="7"/>
        </w:numPr>
      </w:pPr>
      <w:proofErr w:type="spellStart"/>
      <w:r>
        <w:t>Desenquadramento</w:t>
      </w:r>
      <w:proofErr w:type="spellEnd"/>
      <w:r>
        <w:t xml:space="preserve"> do</w:t>
      </w:r>
      <w:r w:rsidR="00953BF2">
        <w:t xml:space="preserve"> F</w:t>
      </w:r>
      <w:r>
        <w:t xml:space="preserve">undo de </w:t>
      </w:r>
      <w:r w:rsidR="00953BF2">
        <w:t>I</w:t>
      </w:r>
      <w:r>
        <w:t>nvestimento;</w:t>
      </w:r>
    </w:p>
    <w:p w14:paraId="043E7584" w14:textId="77777777" w:rsidR="005B5E5B" w:rsidRDefault="008E4EE1" w:rsidP="000D5D97">
      <w:pPr>
        <w:pStyle w:val="PargrafodaLista"/>
        <w:numPr>
          <w:ilvl w:val="0"/>
          <w:numId w:val="7"/>
        </w:numPr>
      </w:pPr>
      <w:proofErr w:type="spellStart"/>
      <w:r>
        <w:t>Desenquadramento</w:t>
      </w:r>
      <w:proofErr w:type="spellEnd"/>
      <w:r>
        <w:t xml:space="preserve"> da Política de Investimentos;</w:t>
      </w:r>
    </w:p>
    <w:p w14:paraId="1D66C4E5" w14:textId="6B2EF948" w:rsidR="008E4EE1" w:rsidRDefault="00953BF2" w:rsidP="000D5D97">
      <w:pPr>
        <w:pStyle w:val="PargrafodaLista"/>
        <w:numPr>
          <w:ilvl w:val="0"/>
          <w:numId w:val="7"/>
        </w:numPr>
      </w:pPr>
      <w:r>
        <w:t xml:space="preserve">Movimentações Financeiras não </w:t>
      </w:r>
      <w:r w:rsidR="00E51FB9">
        <w:t>autorizadas</w:t>
      </w:r>
      <w:r>
        <w:t>;</w:t>
      </w:r>
    </w:p>
    <w:p w14:paraId="3BED6326" w14:textId="34B1C11D" w:rsidR="00201956" w:rsidRDefault="00953BF2" w:rsidP="005B5E5B">
      <w:r>
        <w:t>Caso identificado o</w:t>
      </w:r>
      <w:r w:rsidR="0071269F">
        <w:t xml:space="preserve"> </w:t>
      </w:r>
      <w:r>
        <w:t>não cumprimento</w:t>
      </w:r>
      <w:r w:rsidR="00DF0B23">
        <w:t xml:space="preserve"> dos itens descritos</w:t>
      </w:r>
      <w:r w:rsidR="0071269F">
        <w:t>, ficam os responsáveis pelos investimentos, devidamente definidos nesta Política de Investimentos, obrigados a: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056"/>
        <w:gridCol w:w="3028"/>
        <w:gridCol w:w="2977"/>
      </w:tblGrid>
      <w:tr w:rsidR="0071269F" w:rsidRPr="005B5E5B" w14:paraId="1AA694DF" w14:textId="77777777" w:rsidTr="005B5E5B">
        <w:tc>
          <w:tcPr>
            <w:tcW w:w="1686" w:type="pct"/>
          </w:tcPr>
          <w:p w14:paraId="6A830B98" w14:textId="676DFF73" w:rsidR="0071269F" w:rsidRPr="005B5E5B" w:rsidRDefault="0071269F" w:rsidP="005B5E5B">
            <w:pPr>
              <w:jc w:val="center"/>
              <w:rPr>
                <w:b/>
                <w:sz w:val="14"/>
              </w:rPr>
            </w:pPr>
            <w:r w:rsidRPr="005B5E5B">
              <w:rPr>
                <w:b/>
                <w:sz w:val="14"/>
              </w:rPr>
              <w:t>Contingências</w:t>
            </w:r>
          </w:p>
        </w:tc>
        <w:tc>
          <w:tcPr>
            <w:tcW w:w="1671" w:type="pct"/>
          </w:tcPr>
          <w:p w14:paraId="4060BC02" w14:textId="570CD53C" w:rsidR="0071269F" w:rsidRPr="005B5E5B" w:rsidRDefault="0071269F" w:rsidP="005B5E5B">
            <w:pPr>
              <w:jc w:val="center"/>
              <w:rPr>
                <w:b/>
                <w:sz w:val="14"/>
              </w:rPr>
            </w:pPr>
            <w:r w:rsidRPr="005B5E5B">
              <w:rPr>
                <w:b/>
                <w:sz w:val="14"/>
              </w:rPr>
              <w:t>Medidas</w:t>
            </w:r>
          </w:p>
        </w:tc>
        <w:tc>
          <w:tcPr>
            <w:tcW w:w="1643" w:type="pct"/>
          </w:tcPr>
          <w:p w14:paraId="5A1960E2" w14:textId="70AEEE04" w:rsidR="0071269F" w:rsidRPr="005B5E5B" w:rsidRDefault="0071269F" w:rsidP="005B5E5B">
            <w:pPr>
              <w:jc w:val="center"/>
              <w:rPr>
                <w:b/>
                <w:sz w:val="14"/>
              </w:rPr>
            </w:pPr>
            <w:r w:rsidRPr="005B5E5B">
              <w:rPr>
                <w:b/>
                <w:sz w:val="14"/>
              </w:rPr>
              <w:t>Resolução</w:t>
            </w:r>
          </w:p>
        </w:tc>
      </w:tr>
      <w:tr w:rsidR="0071269F" w:rsidRPr="005B5E5B" w14:paraId="6855D352" w14:textId="77777777" w:rsidTr="005B5E5B">
        <w:tc>
          <w:tcPr>
            <w:tcW w:w="1686" w:type="pct"/>
            <w:vAlign w:val="center"/>
          </w:tcPr>
          <w:p w14:paraId="03A9EF87" w14:textId="4348C4EB" w:rsidR="0071269F" w:rsidRPr="005B5E5B" w:rsidRDefault="00953BF2" w:rsidP="005B5E5B">
            <w:pPr>
              <w:jc w:val="left"/>
              <w:rPr>
                <w:sz w:val="14"/>
              </w:rPr>
            </w:pPr>
            <w:r w:rsidRPr="005B5E5B">
              <w:rPr>
                <w:sz w:val="14"/>
              </w:rPr>
              <w:t xml:space="preserve">1 – </w:t>
            </w:r>
            <w:proofErr w:type="spellStart"/>
            <w:r w:rsidRPr="005B5E5B">
              <w:rPr>
                <w:sz w:val="14"/>
              </w:rPr>
              <w:t>Desenquadramento</w:t>
            </w:r>
            <w:proofErr w:type="spellEnd"/>
            <w:r w:rsidRPr="005B5E5B">
              <w:rPr>
                <w:sz w:val="14"/>
              </w:rPr>
              <w:t xml:space="preserve"> da Carteira de Investimentos</w:t>
            </w:r>
          </w:p>
        </w:tc>
        <w:tc>
          <w:tcPr>
            <w:tcW w:w="1671" w:type="pct"/>
          </w:tcPr>
          <w:p w14:paraId="021104D8" w14:textId="0CBB5BAC" w:rsidR="0071269F" w:rsidRPr="005B5E5B" w:rsidRDefault="00953BF2" w:rsidP="005B5E5B">
            <w:pPr>
              <w:rPr>
                <w:sz w:val="14"/>
              </w:rPr>
            </w:pPr>
            <w:r w:rsidRPr="005B5E5B">
              <w:rPr>
                <w:sz w:val="14"/>
              </w:rPr>
              <w:t>a) Apuração das causas acompanhado de relatório;</w:t>
            </w:r>
          </w:p>
          <w:p w14:paraId="2839E3CA" w14:textId="2F5D4179" w:rsidR="00953BF2" w:rsidRPr="005B5E5B" w:rsidRDefault="00953BF2" w:rsidP="005B5E5B">
            <w:pPr>
              <w:rPr>
                <w:sz w:val="14"/>
              </w:rPr>
            </w:pPr>
            <w:r w:rsidRPr="005B5E5B">
              <w:rPr>
                <w:sz w:val="14"/>
              </w:rPr>
              <w:t>b) Identificação dos envolvidos a contar do início do processo;</w:t>
            </w:r>
          </w:p>
          <w:p w14:paraId="2956D095" w14:textId="7A7A78B8" w:rsidR="00953BF2" w:rsidRPr="005B5E5B" w:rsidRDefault="00953BF2" w:rsidP="005B5E5B">
            <w:pPr>
              <w:rPr>
                <w:sz w:val="14"/>
              </w:rPr>
            </w:pPr>
            <w:r w:rsidRPr="005B5E5B">
              <w:rPr>
                <w:sz w:val="14"/>
              </w:rPr>
              <w:t>c) Estudo Técnico com a viabilidade para o enquadramento.</w:t>
            </w:r>
          </w:p>
        </w:tc>
        <w:tc>
          <w:tcPr>
            <w:tcW w:w="1643" w:type="pct"/>
            <w:vAlign w:val="center"/>
          </w:tcPr>
          <w:p w14:paraId="028CA2FF" w14:textId="396AE304" w:rsidR="0071269F" w:rsidRPr="005B5E5B" w:rsidRDefault="00953BF2" w:rsidP="005B5E5B">
            <w:pPr>
              <w:jc w:val="left"/>
              <w:rPr>
                <w:sz w:val="14"/>
              </w:rPr>
            </w:pPr>
            <w:r w:rsidRPr="005B5E5B">
              <w:rPr>
                <w:sz w:val="14"/>
              </w:rPr>
              <w:t>Curto, Médio e Longo Prazo</w:t>
            </w:r>
          </w:p>
        </w:tc>
      </w:tr>
      <w:tr w:rsidR="0071269F" w:rsidRPr="005B5E5B" w14:paraId="02A561AD" w14:textId="77777777" w:rsidTr="005B5E5B">
        <w:tc>
          <w:tcPr>
            <w:tcW w:w="1686" w:type="pct"/>
            <w:vAlign w:val="center"/>
          </w:tcPr>
          <w:p w14:paraId="0A4159A4" w14:textId="006C1C86" w:rsidR="0071269F" w:rsidRPr="005B5E5B" w:rsidRDefault="00953BF2" w:rsidP="005B5E5B">
            <w:pPr>
              <w:jc w:val="left"/>
              <w:rPr>
                <w:sz w:val="14"/>
              </w:rPr>
            </w:pPr>
            <w:r w:rsidRPr="005B5E5B">
              <w:rPr>
                <w:sz w:val="14"/>
              </w:rPr>
              <w:t xml:space="preserve">2 – </w:t>
            </w:r>
            <w:proofErr w:type="spellStart"/>
            <w:r w:rsidRPr="005B5E5B">
              <w:rPr>
                <w:sz w:val="14"/>
              </w:rPr>
              <w:t>Desenquadramento</w:t>
            </w:r>
            <w:proofErr w:type="spellEnd"/>
            <w:r w:rsidRPr="005B5E5B">
              <w:rPr>
                <w:sz w:val="14"/>
              </w:rPr>
              <w:t xml:space="preserve"> do Fundo de Investimento</w:t>
            </w:r>
          </w:p>
        </w:tc>
        <w:tc>
          <w:tcPr>
            <w:tcW w:w="1671" w:type="pct"/>
          </w:tcPr>
          <w:p w14:paraId="0C7BC329" w14:textId="77777777" w:rsidR="00953BF2" w:rsidRPr="005B5E5B" w:rsidRDefault="00953BF2" w:rsidP="005B5E5B">
            <w:pPr>
              <w:rPr>
                <w:sz w:val="14"/>
              </w:rPr>
            </w:pPr>
            <w:r w:rsidRPr="005B5E5B">
              <w:rPr>
                <w:sz w:val="14"/>
              </w:rPr>
              <w:t>a) Apuração das causas acompanhado de relatório;</w:t>
            </w:r>
          </w:p>
          <w:p w14:paraId="02FAADCD" w14:textId="77777777" w:rsidR="00953BF2" w:rsidRPr="005B5E5B" w:rsidRDefault="00953BF2" w:rsidP="005B5E5B">
            <w:pPr>
              <w:rPr>
                <w:sz w:val="14"/>
              </w:rPr>
            </w:pPr>
            <w:r w:rsidRPr="005B5E5B">
              <w:rPr>
                <w:sz w:val="14"/>
              </w:rPr>
              <w:t>b) Identificação dos envolvidos a contar do início do processo;</w:t>
            </w:r>
          </w:p>
          <w:p w14:paraId="0818AB45" w14:textId="65EA43E6" w:rsidR="0071269F" w:rsidRPr="005B5E5B" w:rsidRDefault="00953BF2" w:rsidP="005B5E5B">
            <w:pPr>
              <w:rPr>
                <w:sz w:val="14"/>
              </w:rPr>
            </w:pPr>
            <w:r w:rsidRPr="005B5E5B">
              <w:rPr>
                <w:sz w:val="14"/>
              </w:rPr>
              <w:t>c) Estudo Técnico com a viabilidade para o enquadramento.</w:t>
            </w:r>
          </w:p>
        </w:tc>
        <w:tc>
          <w:tcPr>
            <w:tcW w:w="1643" w:type="pct"/>
            <w:vAlign w:val="center"/>
          </w:tcPr>
          <w:p w14:paraId="356F1C81" w14:textId="74F6A87B" w:rsidR="0071269F" w:rsidRPr="005B5E5B" w:rsidRDefault="00953BF2" w:rsidP="005B5E5B">
            <w:pPr>
              <w:jc w:val="left"/>
              <w:rPr>
                <w:sz w:val="14"/>
              </w:rPr>
            </w:pPr>
            <w:r w:rsidRPr="005B5E5B">
              <w:rPr>
                <w:sz w:val="14"/>
              </w:rPr>
              <w:t>Curto, Médio e Longo Prazo</w:t>
            </w:r>
          </w:p>
        </w:tc>
      </w:tr>
      <w:tr w:rsidR="0071269F" w:rsidRPr="005B5E5B" w14:paraId="763854B4" w14:textId="77777777" w:rsidTr="005B5E5B">
        <w:tc>
          <w:tcPr>
            <w:tcW w:w="1686" w:type="pct"/>
            <w:vAlign w:val="center"/>
          </w:tcPr>
          <w:p w14:paraId="1AD8D4C6" w14:textId="6E843CB4" w:rsidR="0071269F" w:rsidRPr="005B5E5B" w:rsidRDefault="00953BF2" w:rsidP="005B5E5B">
            <w:pPr>
              <w:jc w:val="left"/>
              <w:rPr>
                <w:sz w:val="14"/>
              </w:rPr>
            </w:pPr>
            <w:r w:rsidRPr="005B5E5B">
              <w:rPr>
                <w:sz w:val="14"/>
              </w:rPr>
              <w:t xml:space="preserve">3 – </w:t>
            </w:r>
            <w:proofErr w:type="spellStart"/>
            <w:r w:rsidRPr="005B5E5B">
              <w:rPr>
                <w:sz w:val="14"/>
              </w:rPr>
              <w:t>Desenquadramento</w:t>
            </w:r>
            <w:proofErr w:type="spellEnd"/>
            <w:r w:rsidRPr="005B5E5B">
              <w:rPr>
                <w:sz w:val="14"/>
              </w:rPr>
              <w:t xml:space="preserve"> da Política de Investimentos</w:t>
            </w:r>
          </w:p>
        </w:tc>
        <w:tc>
          <w:tcPr>
            <w:tcW w:w="1671" w:type="pct"/>
          </w:tcPr>
          <w:p w14:paraId="2101E9E6" w14:textId="77777777" w:rsidR="00953BF2" w:rsidRPr="005B5E5B" w:rsidRDefault="00953BF2" w:rsidP="005B5E5B">
            <w:pPr>
              <w:rPr>
                <w:sz w:val="14"/>
              </w:rPr>
            </w:pPr>
            <w:r w:rsidRPr="005B5E5B">
              <w:rPr>
                <w:sz w:val="14"/>
              </w:rPr>
              <w:t>a) Apuração das causas acompanhado de relatório;</w:t>
            </w:r>
          </w:p>
          <w:p w14:paraId="6176DEDD" w14:textId="77777777" w:rsidR="00953BF2" w:rsidRPr="005B5E5B" w:rsidRDefault="00953BF2" w:rsidP="005B5E5B">
            <w:pPr>
              <w:rPr>
                <w:sz w:val="14"/>
              </w:rPr>
            </w:pPr>
            <w:r w:rsidRPr="005B5E5B">
              <w:rPr>
                <w:sz w:val="14"/>
              </w:rPr>
              <w:t>b) Identificação dos envolvidos a contar do início do processo;</w:t>
            </w:r>
          </w:p>
          <w:p w14:paraId="0B676AD4" w14:textId="2850BAF9" w:rsidR="0071269F" w:rsidRPr="005B5E5B" w:rsidRDefault="00953BF2" w:rsidP="005B5E5B">
            <w:pPr>
              <w:rPr>
                <w:sz w:val="14"/>
              </w:rPr>
            </w:pPr>
            <w:r w:rsidRPr="005B5E5B">
              <w:rPr>
                <w:sz w:val="14"/>
              </w:rPr>
              <w:t>c) Estudo Técnico com a viabilidade para o enquadramento.</w:t>
            </w:r>
          </w:p>
        </w:tc>
        <w:tc>
          <w:tcPr>
            <w:tcW w:w="1643" w:type="pct"/>
            <w:vAlign w:val="center"/>
          </w:tcPr>
          <w:p w14:paraId="1979F1A7" w14:textId="50732898" w:rsidR="0071269F" w:rsidRPr="005B5E5B" w:rsidRDefault="00CB5DCF" w:rsidP="005B5E5B">
            <w:pPr>
              <w:jc w:val="left"/>
              <w:rPr>
                <w:sz w:val="14"/>
              </w:rPr>
            </w:pPr>
            <w:r w:rsidRPr="005B5E5B">
              <w:rPr>
                <w:sz w:val="14"/>
              </w:rPr>
              <w:t>Curto, Médio e Longo Prazo</w:t>
            </w:r>
          </w:p>
        </w:tc>
      </w:tr>
      <w:tr w:rsidR="00CB5DCF" w:rsidRPr="005B5E5B" w14:paraId="04825EF0" w14:textId="77777777" w:rsidTr="005B5E5B">
        <w:tc>
          <w:tcPr>
            <w:tcW w:w="1686" w:type="pct"/>
            <w:vAlign w:val="center"/>
          </w:tcPr>
          <w:p w14:paraId="0A59061D" w14:textId="5A82E324" w:rsidR="00CB5DCF" w:rsidRPr="005B5E5B" w:rsidRDefault="00CB5DCF" w:rsidP="005B5E5B">
            <w:pPr>
              <w:jc w:val="left"/>
              <w:rPr>
                <w:sz w:val="14"/>
              </w:rPr>
            </w:pPr>
            <w:r w:rsidRPr="005B5E5B">
              <w:rPr>
                <w:sz w:val="14"/>
              </w:rPr>
              <w:t xml:space="preserve">4 – Movimentações Financeiras não </w:t>
            </w:r>
            <w:r w:rsidR="00E51FB9" w:rsidRPr="005B5E5B">
              <w:rPr>
                <w:sz w:val="14"/>
              </w:rPr>
              <w:t>autorizadas</w:t>
            </w:r>
          </w:p>
        </w:tc>
        <w:tc>
          <w:tcPr>
            <w:tcW w:w="1671" w:type="pct"/>
          </w:tcPr>
          <w:p w14:paraId="21B5E58D" w14:textId="77777777" w:rsidR="00CB5DCF" w:rsidRPr="005B5E5B" w:rsidRDefault="00CB5DCF" w:rsidP="005B5E5B">
            <w:pPr>
              <w:rPr>
                <w:sz w:val="14"/>
              </w:rPr>
            </w:pPr>
            <w:r w:rsidRPr="005B5E5B">
              <w:rPr>
                <w:sz w:val="14"/>
              </w:rPr>
              <w:t>a) Apuração das causas acompanhado de relatório;</w:t>
            </w:r>
          </w:p>
          <w:p w14:paraId="5A3421DF" w14:textId="77777777" w:rsidR="00CB5DCF" w:rsidRPr="005B5E5B" w:rsidRDefault="00CB5DCF" w:rsidP="005B5E5B">
            <w:pPr>
              <w:rPr>
                <w:sz w:val="14"/>
              </w:rPr>
            </w:pPr>
            <w:r w:rsidRPr="005B5E5B">
              <w:rPr>
                <w:sz w:val="14"/>
              </w:rPr>
              <w:t>b) Identificação dos envolvidos a contar do início do processo;</w:t>
            </w:r>
          </w:p>
          <w:p w14:paraId="200240CE" w14:textId="77777777" w:rsidR="00CB5DCF" w:rsidRPr="005B5E5B" w:rsidRDefault="00CB5DCF" w:rsidP="005B5E5B">
            <w:pPr>
              <w:rPr>
                <w:sz w:val="14"/>
              </w:rPr>
            </w:pPr>
            <w:r w:rsidRPr="005B5E5B">
              <w:rPr>
                <w:sz w:val="14"/>
              </w:rPr>
              <w:t>c) Estudo Técnico com a viabilidade para resolução;</w:t>
            </w:r>
          </w:p>
          <w:p w14:paraId="144C4CD2" w14:textId="5E2C4162" w:rsidR="00CB5DCF" w:rsidRPr="005B5E5B" w:rsidRDefault="00CB5DCF" w:rsidP="005B5E5B">
            <w:pPr>
              <w:rPr>
                <w:sz w:val="14"/>
              </w:rPr>
            </w:pPr>
            <w:r w:rsidRPr="005B5E5B">
              <w:rPr>
                <w:sz w:val="14"/>
              </w:rPr>
              <w:t>d) Ações e Medidas, se necessárias, judiciais para a responsabilização dos responsáveis.</w:t>
            </w:r>
          </w:p>
        </w:tc>
        <w:tc>
          <w:tcPr>
            <w:tcW w:w="1643" w:type="pct"/>
            <w:vAlign w:val="center"/>
          </w:tcPr>
          <w:p w14:paraId="4E2BE1CD" w14:textId="2A8BDC8C" w:rsidR="00CB5DCF" w:rsidRPr="005B5E5B" w:rsidRDefault="00CB5DCF" w:rsidP="005B5E5B">
            <w:pPr>
              <w:jc w:val="left"/>
              <w:rPr>
                <w:sz w:val="14"/>
              </w:rPr>
            </w:pPr>
            <w:r w:rsidRPr="005B5E5B">
              <w:rPr>
                <w:sz w:val="14"/>
              </w:rPr>
              <w:t>Curto, Médio e Longo Prazo</w:t>
            </w:r>
          </w:p>
        </w:tc>
      </w:tr>
    </w:tbl>
    <w:p w14:paraId="5673EB4A" w14:textId="77777777" w:rsidR="00C0622A" w:rsidRDefault="00C0622A" w:rsidP="00276EFD">
      <w:pPr>
        <w:pStyle w:val="Ttulo3"/>
        <w:numPr>
          <w:ilvl w:val="0"/>
          <w:numId w:val="0"/>
        </w:numPr>
      </w:pPr>
    </w:p>
    <w:p w14:paraId="58BAB6FB" w14:textId="2B246B58" w:rsidR="00C43FDD" w:rsidRDefault="00C43FDD" w:rsidP="00276EFD">
      <w:pPr>
        <w:pStyle w:val="Ttulo3"/>
      </w:pPr>
      <w:bookmarkStart w:id="131" w:name="_Toc118105170"/>
      <w:r>
        <w:t>POTENCIAIS PERDAS DOS RECURSOS</w:t>
      </w:r>
      <w:bookmarkEnd w:id="131"/>
    </w:p>
    <w:p w14:paraId="487D3001" w14:textId="02DE5768" w:rsidR="004A2AF2" w:rsidRDefault="00C44EBF" w:rsidP="00C0622A">
      <w:r>
        <w:t xml:space="preserve">Entende como </w:t>
      </w:r>
      <w:r w:rsidR="00A31F3E">
        <w:t>potenciais</w:t>
      </w:r>
      <w:r>
        <w:t xml:space="preserve"> perdas dos recursos </w:t>
      </w:r>
      <w:r w:rsidR="00B77CE0">
        <w:t xml:space="preserve">os </w:t>
      </w:r>
      <w:r>
        <w:t xml:space="preserve">volumes </w:t>
      </w:r>
      <w:r w:rsidR="004A2AF2">
        <w:t xml:space="preserve">expressivos </w:t>
      </w:r>
      <w:r w:rsidR="00B77CE0">
        <w:t>provenientes de fundos de investimentos diretamente atrelados aos riscos</w:t>
      </w:r>
      <w:r>
        <w:t xml:space="preserve"> de mercado, crédito e liquidez.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056"/>
        <w:gridCol w:w="3028"/>
        <w:gridCol w:w="2977"/>
      </w:tblGrid>
      <w:tr w:rsidR="00811CB0" w:rsidRPr="005B5E5B" w14:paraId="256B2226" w14:textId="77777777" w:rsidTr="005B5E5B">
        <w:tc>
          <w:tcPr>
            <w:tcW w:w="1686" w:type="pct"/>
          </w:tcPr>
          <w:p w14:paraId="239A80B9" w14:textId="77777777" w:rsidR="00811CB0" w:rsidRPr="005B5E5B" w:rsidRDefault="00811CB0" w:rsidP="00435A6C">
            <w:pPr>
              <w:jc w:val="center"/>
              <w:rPr>
                <w:b/>
                <w:sz w:val="14"/>
                <w:szCs w:val="14"/>
              </w:rPr>
            </w:pPr>
            <w:r w:rsidRPr="005B5E5B">
              <w:rPr>
                <w:b/>
                <w:sz w:val="14"/>
                <w:szCs w:val="14"/>
              </w:rPr>
              <w:t>Contingências</w:t>
            </w:r>
          </w:p>
        </w:tc>
        <w:tc>
          <w:tcPr>
            <w:tcW w:w="1671" w:type="pct"/>
          </w:tcPr>
          <w:p w14:paraId="7948ED81" w14:textId="77777777" w:rsidR="00811CB0" w:rsidRPr="005B5E5B" w:rsidRDefault="00811CB0" w:rsidP="00435A6C">
            <w:pPr>
              <w:jc w:val="center"/>
              <w:rPr>
                <w:b/>
                <w:sz w:val="14"/>
                <w:szCs w:val="14"/>
              </w:rPr>
            </w:pPr>
            <w:r w:rsidRPr="005B5E5B">
              <w:rPr>
                <w:b/>
                <w:sz w:val="14"/>
                <w:szCs w:val="14"/>
              </w:rPr>
              <w:t>Medidas</w:t>
            </w:r>
          </w:p>
        </w:tc>
        <w:tc>
          <w:tcPr>
            <w:tcW w:w="1643" w:type="pct"/>
          </w:tcPr>
          <w:p w14:paraId="7DCC65D2" w14:textId="77777777" w:rsidR="00811CB0" w:rsidRPr="005B5E5B" w:rsidRDefault="00811CB0" w:rsidP="00435A6C">
            <w:pPr>
              <w:jc w:val="center"/>
              <w:rPr>
                <w:b/>
                <w:sz w:val="14"/>
                <w:szCs w:val="14"/>
              </w:rPr>
            </w:pPr>
            <w:r w:rsidRPr="005B5E5B">
              <w:rPr>
                <w:b/>
                <w:sz w:val="14"/>
                <w:szCs w:val="14"/>
              </w:rPr>
              <w:t>Resolução</w:t>
            </w:r>
          </w:p>
        </w:tc>
      </w:tr>
      <w:tr w:rsidR="00811CB0" w:rsidRPr="005B5E5B" w14:paraId="05EB2953" w14:textId="77777777" w:rsidTr="005B5E5B">
        <w:tc>
          <w:tcPr>
            <w:tcW w:w="1686" w:type="pct"/>
          </w:tcPr>
          <w:p w14:paraId="1A09E532" w14:textId="71573AF4" w:rsidR="00811CB0" w:rsidRPr="005B5E5B" w:rsidRDefault="00811CB0">
            <w:pPr>
              <w:rPr>
                <w:sz w:val="14"/>
                <w:szCs w:val="14"/>
              </w:rPr>
            </w:pPr>
            <w:r w:rsidRPr="005B5E5B">
              <w:rPr>
                <w:sz w:val="14"/>
                <w:szCs w:val="14"/>
              </w:rPr>
              <w:lastRenderedPageBreak/>
              <w:t>1 – Potenciais perdas de recursos</w:t>
            </w:r>
          </w:p>
        </w:tc>
        <w:tc>
          <w:tcPr>
            <w:tcW w:w="1671" w:type="pct"/>
          </w:tcPr>
          <w:p w14:paraId="08AA7D65" w14:textId="77777777" w:rsidR="00811CB0" w:rsidRPr="005B5E5B" w:rsidRDefault="00811CB0" w:rsidP="00435A6C">
            <w:pPr>
              <w:rPr>
                <w:sz w:val="14"/>
                <w:szCs w:val="14"/>
              </w:rPr>
            </w:pPr>
            <w:r w:rsidRPr="005B5E5B">
              <w:rPr>
                <w:sz w:val="14"/>
                <w:szCs w:val="14"/>
              </w:rPr>
              <w:t>a) Apuração das causas acompanhado de relatório;</w:t>
            </w:r>
          </w:p>
          <w:p w14:paraId="0F993115" w14:textId="77777777" w:rsidR="00811CB0" w:rsidRPr="005B5E5B" w:rsidRDefault="00811CB0" w:rsidP="00435A6C">
            <w:pPr>
              <w:rPr>
                <w:sz w:val="14"/>
                <w:szCs w:val="14"/>
              </w:rPr>
            </w:pPr>
            <w:r w:rsidRPr="005B5E5B">
              <w:rPr>
                <w:sz w:val="14"/>
                <w:szCs w:val="14"/>
              </w:rPr>
              <w:t>b) Identificação dos envolvidos a contar do início do processo;</w:t>
            </w:r>
          </w:p>
          <w:p w14:paraId="02FCBE9C" w14:textId="792820D0" w:rsidR="00811CB0" w:rsidRPr="005B5E5B" w:rsidRDefault="00811CB0">
            <w:pPr>
              <w:rPr>
                <w:sz w:val="14"/>
                <w:szCs w:val="14"/>
              </w:rPr>
            </w:pPr>
            <w:r w:rsidRPr="005B5E5B">
              <w:rPr>
                <w:sz w:val="14"/>
                <w:szCs w:val="14"/>
              </w:rPr>
              <w:t>c) Estudo Técnico com a viabilidade administrativa, financeira e se for o caso, jurídica.</w:t>
            </w:r>
          </w:p>
        </w:tc>
        <w:tc>
          <w:tcPr>
            <w:tcW w:w="1643" w:type="pct"/>
          </w:tcPr>
          <w:p w14:paraId="35292131" w14:textId="77777777" w:rsidR="00811CB0" w:rsidRPr="005B5E5B" w:rsidRDefault="00811CB0" w:rsidP="00435A6C">
            <w:pPr>
              <w:rPr>
                <w:sz w:val="14"/>
                <w:szCs w:val="14"/>
              </w:rPr>
            </w:pPr>
            <w:r w:rsidRPr="005B5E5B">
              <w:rPr>
                <w:sz w:val="14"/>
                <w:szCs w:val="14"/>
              </w:rPr>
              <w:t>Curto, Médio e Longo Prazo</w:t>
            </w:r>
          </w:p>
        </w:tc>
      </w:tr>
    </w:tbl>
    <w:p w14:paraId="559930B7" w14:textId="201966EF" w:rsidR="00F95781" w:rsidRDefault="00F95781">
      <w:pPr>
        <w:jc w:val="left"/>
      </w:pPr>
      <w:r>
        <w:br w:type="page"/>
      </w:r>
    </w:p>
    <w:p w14:paraId="21464621" w14:textId="7DB526C7" w:rsidR="006B0FB7" w:rsidRPr="0026139D" w:rsidRDefault="006B0FB7" w:rsidP="00C0622A">
      <w:pPr>
        <w:pStyle w:val="Ttulo1"/>
        <w:spacing w:before="360"/>
      </w:pPr>
      <w:bookmarkStart w:id="132" w:name="_Toc118105171"/>
      <w:r w:rsidRPr="0026139D">
        <w:lastRenderedPageBreak/>
        <w:t>C</w:t>
      </w:r>
      <w:bookmarkEnd w:id="116"/>
      <w:r w:rsidRPr="0026139D">
        <w:t>ONTROLES INTERNOS</w:t>
      </w:r>
      <w:bookmarkEnd w:id="117"/>
      <w:bookmarkEnd w:id="118"/>
      <w:bookmarkEnd w:id="132"/>
    </w:p>
    <w:p w14:paraId="52F902B0" w14:textId="2A9A3F10" w:rsidR="00A22633" w:rsidRPr="00A22633" w:rsidRDefault="00A22633" w:rsidP="00C0622A">
      <w:pPr>
        <w:rPr>
          <w:bCs/>
          <w:szCs w:val="20"/>
        </w:rPr>
      </w:pPr>
      <w:r w:rsidRPr="00A22633">
        <w:rPr>
          <w:bCs/>
          <w:szCs w:val="20"/>
        </w:rPr>
        <w:t xml:space="preserve">Antes de qualquer aplicação, resgate ou movimentações financeiras ocorridas na carteira de investimentos do </w:t>
      </w:r>
      <w:r w:rsidR="00163DF1">
        <w:rPr>
          <w:b/>
          <w:bCs/>
          <w:color w:val="000000" w:themeColor="text1"/>
          <w:szCs w:val="20"/>
        </w:rPr>
        <w:t>MUNICÍ</w:t>
      </w:r>
      <w:r w:rsidR="00163DF1" w:rsidRPr="006053F5">
        <w:rPr>
          <w:b/>
          <w:bCs/>
          <w:color w:val="000000" w:themeColor="text1"/>
          <w:szCs w:val="20"/>
        </w:rPr>
        <w:t>PIO</w:t>
      </w:r>
      <w:r w:rsidR="00163DF1" w:rsidRPr="00716D43">
        <w:rPr>
          <w:b/>
          <w:color w:val="000000" w:themeColor="text1"/>
        </w:rPr>
        <w:t xml:space="preserve"> </w:t>
      </w:r>
      <w:r w:rsidR="00A54E10" w:rsidRPr="00716D43">
        <w:rPr>
          <w:b/>
          <w:color w:val="000000" w:themeColor="text1"/>
        </w:rPr>
        <w:t>DE GUARACI</w:t>
      </w:r>
      <w:r w:rsidRPr="00A22633">
        <w:rPr>
          <w:bCs/>
          <w:szCs w:val="20"/>
        </w:rPr>
        <w:t xml:space="preserve">, os responsáveis pela gestão dos recursos deverão seguir todos os princípios e diretrizes envolvidos nos processos de aplicação dos </w:t>
      </w:r>
      <w:r w:rsidR="009918FE">
        <w:rPr>
          <w:bCs/>
          <w:szCs w:val="20"/>
        </w:rPr>
        <w:t>recursos</w:t>
      </w:r>
      <w:r w:rsidRPr="00A22633">
        <w:rPr>
          <w:bCs/>
          <w:szCs w:val="20"/>
        </w:rPr>
        <w:t>.</w:t>
      </w:r>
    </w:p>
    <w:p w14:paraId="19499DF0" w14:textId="2AADD269" w:rsidR="00A22633" w:rsidRPr="00E97889" w:rsidRDefault="00A22633" w:rsidP="00C0622A">
      <w:pPr>
        <w:rPr>
          <w:bCs/>
          <w:szCs w:val="20"/>
        </w:rPr>
      </w:pPr>
      <w:r w:rsidRPr="00A22633">
        <w:rPr>
          <w:bCs/>
          <w:szCs w:val="20"/>
        </w:rPr>
        <w:t xml:space="preserve">O acompanhamento mensal do desempenho da carteira de </w:t>
      </w:r>
      <w:r w:rsidRPr="00E97889">
        <w:rPr>
          <w:bCs/>
          <w:szCs w:val="20"/>
        </w:rPr>
        <w:t xml:space="preserve">investimentos em relação a </w:t>
      </w:r>
      <w:r w:rsidR="00130B80" w:rsidRPr="00E97889">
        <w:rPr>
          <w:bCs/>
          <w:szCs w:val="20"/>
        </w:rPr>
        <w:t>Meta de Rentabilidade</w:t>
      </w:r>
      <w:r w:rsidRPr="00E97889">
        <w:rPr>
          <w:bCs/>
          <w:szCs w:val="20"/>
        </w:rPr>
        <w:t xml:space="preserve"> definida, garantirá ações e medidas no curto</w:t>
      </w:r>
      <w:r w:rsidR="0005584C" w:rsidRPr="00E97889">
        <w:rPr>
          <w:bCs/>
          <w:szCs w:val="20"/>
        </w:rPr>
        <w:t xml:space="preserve"> e </w:t>
      </w:r>
      <w:r w:rsidRPr="00E97889">
        <w:rPr>
          <w:bCs/>
          <w:szCs w:val="20"/>
        </w:rPr>
        <w:t xml:space="preserve">médio prazo </w:t>
      </w:r>
      <w:r w:rsidR="007B172D" w:rsidRPr="00E97889">
        <w:rPr>
          <w:bCs/>
          <w:szCs w:val="20"/>
        </w:rPr>
        <w:t>do</w:t>
      </w:r>
      <w:r w:rsidRPr="00E97889">
        <w:rPr>
          <w:bCs/>
          <w:szCs w:val="20"/>
        </w:rPr>
        <w:t xml:space="preserve"> equacionamento de quaisquer distorções decorrentes dos riscos a ela atrelados.</w:t>
      </w:r>
    </w:p>
    <w:p w14:paraId="383CC785" w14:textId="74E43445" w:rsidR="00A22633" w:rsidRPr="00E97889" w:rsidRDefault="00A22633" w:rsidP="00C0622A">
      <w:pPr>
        <w:rPr>
          <w:bCs/>
          <w:szCs w:val="20"/>
        </w:rPr>
      </w:pPr>
      <w:r w:rsidRPr="00E97889">
        <w:rPr>
          <w:bCs/>
          <w:szCs w:val="20"/>
        </w:rPr>
        <w:t>Com base nas determinações da Portaria nº</w:t>
      </w:r>
      <w:r w:rsidR="00324801" w:rsidRPr="00E97889">
        <w:rPr>
          <w:bCs/>
          <w:szCs w:val="20"/>
        </w:rPr>
        <w:t xml:space="preserve"> </w:t>
      </w:r>
      <w:r w:rsidR="00E72682" w:rsidRPr="00E97889">
        <w:rPr>
          <w:bCs/>
          <w:szCs w:val="20"/>
        </w:rPr>
        <w:t>1</w:t>
      </w:r>
      <w:r w:rsidR="00324801" w:rsidRPr="00E97889">
        <w:rPr>
          <w:bCs/>
          <w:szCs w:val="20"/>
        </w:rPr>
        <w:t>.</w:t>
      </w:r>
      <w:r w:rsidR="00E72682" w:rsidRPr="00E97889">
        <w:rPr>
          <w:bCs/>
          <w:szCs w:val="20"/>
        </w:rPr>
        <w:t>467/2022</w:t>
      </w:r>
      <w:r w:rsidRPr="00E97889">
        <w:rPr>
          <w:bCs/>
          <w:szCs w:val="20"/>
        </w:rPr>
        <w:t xml:space="preserve">, foi instituído o Comitê de Investimentos através do Ato Normativo </w:t>
      </w:r>
      <w:r w:rsidR="00163DF1">
        <w:rPr>
          <w:b/>
          <w:bCs/>
          <w:color w:val="000000" w:themeColor="text1"/>
          <w:szCs w:val="20"/>
        </w:rPr>
        <w:t>MUNICÍ</w:t>
      </w:r>
      <w:r w:rsidR="00163DF1" w:rsidRPr="006053F5">
        <w:rPr>
          <w:b/>
          <w:bCs/>
          <w:color w:val="000000" w:themeColor="text1"/>
          <w:szCs w:val="20"/>
        </w:rPr>
        <w:t>PIO</w:t>
      </w:r>
      <w:r w:rsidR="00163DF1" w:rsidRPr="00716D43">
        <w:rPr>
          <w:b/>
          <w:color w:val="000000" w:themeColor="text1"/>
        </w:rPr>
        <w:t xml:space="preserve"> </w:t>
      </w:r>
      <w:r w:rsidR="00A54E10" w:rsidRPr="00716D43">
        <w:rPr>
          <w:b/>
          <w:color w:val="000000" w:themeColor="text1"/>
        </w:rPr>
        <w:t>DE GUARACI</w:t>
      </w:r>
      <w:r w:rsidRPr="00E97889">
        <w:rPr>
          <w:bCs/>
          <w:szCs w:val="20"/>
        </w:rPr>
        <w:t>, com a finalidade mínima de participar no processo decisório quanto à formulação e execução da Política de Investimentos.</w:t>
      </w:r>
    </w:p>
    <w:p w14:paraId="1D97CFAE" w14:textId="19610C9D" w:rsidR="00EA6293" w:rsidRPr="00E97889" w:rsidRDefault="00EA6293" w:rsidP="00C0622A">
      <w:pPr>
        <w:rPr>
          <w:bCs/>
          <w:szCs w:val="20"/>
        </w:rPr>
      </w:pPr>
      <w:r w:rsidRPr="00E97889">
        <w:rPr>
          <w:bCs/>
          <w:szCs w:val="20"/>
        </w:rPr>
        <w:t>Suas ações são previamente aprovadas em Plano de Ação estipulado para o exercício corrente</w:t>
      </w:r>
      <w:r w:rsidR="00385CB9" w:rsidRPr="00E97889">
        <w:rPr>
          <w:bCs/>
          <w:szCs w:val="20"/>
        </w:rPr>
        <w:t xml:space="preserve"> e seu controle será promovido pelo Gestor dos Recursos e Presidente do Comitê de Investimentos.</w:t>
      </w:r>
    </w:p>
    <w:p w14:paraId="53026FAA" w14:textId="77777777" w:rsidR="00C0622A" w:rsidRPr="00E97889" w:rsidRDefault="00A22633" w:rsidP="00C0622A">
      <w:pPr>
        <w:rPr>
          <w:bCs/>
          <w:szCs w:val="20"/>
        </w:rPr>
      </w:pPr>
      <w:r w:rsidRPr="00E97889">
        <w:rPr>
          <w:bCs/>
          <w:szCs w:val="20"/>
        </w:rPr>
        <w:t>Entende-se como participação no processo decisório quanto à formulação e execução da Política de Investimentos a abrangência de:</w:t>
      </w:r>
    </w:p>
    <w:p w14:paraId="6DC3C2B0" w14:textId="77777777" w:rsidR="00C0622A" w:rsidRPr="00E97889" w:rsidRDefault="00A22633" w:rsidP="00C0622A">
      <w:pPr>
        <w:pStyle w:val="PargrafodaLista"/>
        <w:numPr>
          <w:ilvl w:val="0"/>
          <w:numId w:val="43"/>
        </w:numPr>
        <w:rPr>
          <w:bCs/>
          <w:szCs w:val="20"/>
        </w:rPr>
      </w:pPr>
      <w:proofErr w:type="gramStart"/>
      <w:r w:rsidRPr="00E97889">
        <w:rPr>
          <w:bCs/>
          <w:szCs w:val="20"/>
        </w:rPr>
        <w:t>garantir</w:t>
      </w:r>
      <w:proofErr w:type="gramEnd"/>
      <w:r w:rsidRPr="00E97889">
        <w:rPr>
          <w:bCs/>
          <w:szCs w:val="20"/>
        </w:rPr>
        <w:t xml:space="preserve"> o cumprimento </w:t>
      </w:r>
      <w:r w:rsidR="007B3F43" w:rsidRPr="00E97889">
        <w:rPr>
          <w:bCs/>
          <w:szCs w:val="20"/>
        </w:rPr>
        <w:t>das normativas vigentes;</w:t>
      </w:r>
    </w:p>
    <w:p w14:paraId="3ECD7F75" w14:textId="77777777" w:rsidR="00C0622A" w:rsidRPr="00E97889" w:rsidRDefault="00C0622A" w:rsidP="00C0622A">
      <w:pPr>
        <w:pStyle w:val="PargrafodaLista"/>
        <w:rPr>
          <w:bCs/>
          <w:szCs w:val="20"/>
        </w:rPr>
      </w:pPr>
    </w:p>
    <w:p w14:paraId="49F2C1CE" w14:textId="77777777" w:rsidR="00C0622A" w:rsidRPr="00E97889" w:rsidRDefault="007B3F43" w:rsidP="00C0622A">
      <w:pPr>
        <w:pStyle w:val="PargrafodaLista"/>
        <w:numPr>
          <w:ilvl w:val="0"/>
          <w:numId w:val="43"/>
        </w:numPr>
        <w:rPr>
          <w:bCs/>
          <w:szCs w:val="20"/>
        </w:rPr>
      </w:pPr>
      <w:proofErr w:type="gramStart"/>
      <w:r w:rsidRPr="00E97889">
        <w:rPr>
          <w:bCs/>
          <w:szCs w:val="20"/>
        </w:rPr>
        <w:t>garantir</w:t>
      </w:r>
      <w:proofErr w:type="gramEnd"/>
      <w:r w:rsidRPr="00E97889">
        <w:rPr>
          <w:bCs/>
          <w:szCs w:val="20"/>
        </w:rPr>
        <w:t xml:space="preserve"> o cumprimento </w:t>
      </w:r>
      <w:r w:rsidR="00A22633" w:rsidRPr="00E97889">
        <w:rPr>
          <w:bCs/>
          <w:szCs w:val="20"/>
        </w:rPr>
        <w:t>da Política de Investimentos</w:t>
      </w:r>
      <w:r w:rsidRPr="00E97889">
        <w:rPr>
          <w:bCs/>
          <w:szCs w:val="20"/>
        </w:rPr>
        <w:t xml:space="preserve"> e suas revisões</w:t>
      </w:r>
      <w:r w:rsidR="00A22633" w:rsidRPr="00E97889">
        <w:rPr>
          <w:bCs/>
          <w:szCs w:val="20"/>
        </w:rPr>
        <w:t>;</w:t>
      </w:r>
    </w:p>
    <w:p w14:paraId="0101CB30" w14:textId="77777777" w:rsidR="00C0622A" w:rsidRPr="00E97889" w:rsidRDefault="00C0622A" w:rsidP="00C0622A">
      <w:pPr>
        <w:pStyle w:val="PargrafodaLista"/>
        <w:rPr>
          <w:bCs/>
          <w:szCs w:val="20"/>
        </w:rPr>
      </w:pPr>
    </w:p>
    <w:p w14:paraId="7CF1E851" w14:textId="1922B8EC" w:rsidR="00C0622A" w:rsidRPr="00E97889" w:rsidRDefault="007B3F43" w:rsidP="00C0622A">
      <w:pPr>
        <w:pStyle w:val="PargrafodaLista"/>
        <w:numPr>
          <w:ilvl w:val="0"/>
          <w:numId w:val="43"/>
        </w:numPr>
        <w:rPr>
          <w:bCs/>
          <w:szCs w:val="20"/>
        </w:rPr>
      </w:pPr>
      <w:proofErr w:type="gramStart"/>
      <w:r w:rsidRPr="00E97889">
        <w:rPr>
          <w:bCs/>
          <w:szCs w:val="20"/>
        </w:rPr>
        <w:t>garantir</w:t>
      </w:r>
      <w:proofErr w:type="gramEnd"/>
      <w:r w:rsidRPr="00E97889">
        <w:rPr>
          <w:bCs/>
          <w:szCs w:val="20"/>
        </w:rPr>
        <w:t xml:space="preserve"> a</w:t>
      </w:r>
      <w:r w:rsidR="00A22633" w:rsidRPr="00E97889">
        <w:rPr>
          <w:bCs/>
          <w:szCs w:val="20"/>
        </w:rPr>
        <w:t xml:space="preserve"> adequação dos investimentos</w:t>
      </w:r>
      <w:r w:rsidRPr="00E97889">
        <w:rPr>
          <w:bCs/>
          <w:szCs w:val="20"/>
        </w:rPr>
        <w:t xml:space="preserve"> de acordo com o perfil do </w:t>
      </w:r>
      <w:r w:rsidR="00163DF1">
        <w:rPr>
          <w:b/>
          <w:bCs/>
          <w:color w:val="000000" w:themeColor="text1"/>
          <w:szCs w:val="20"/>
        </w:rPr>
        <w:t>MUNICÍ</w:t>
      </w:r>
      <w:r w:rsidR="00163DF1" w:rsidRPr="006053F5">
        <w:rPr>
          <w:b/>
          <w:bCs/>
          <w:color w:val="000000" w:themeColor="text1"/>
          <w:szCs w:val="20"/>
        </w:rPr>
        <w:t>PIO</w:t>
      </w:r>
      <w:r w:rsidR="00163DF1" w:rsidRPr="00716D43">
        <w:rPr>
          <w:b/>
          <w:color w:val="000000" w:themeColor="text1"/>
        </w:rPr>
        <w:t xml:space="preserve"> </w:t>
      </w:r>
      <w:r w:rsidR="00A54E10" w:rsidRPr="00716D43">
        <w:rPr>
          <w:b/>
          <w:color w:val="000000" w:themeColor="text1"/>
        </w:rPr>
        <w:t>DE GUARACI</w:t>
      </w:r>
      <w:r w:rsidR="00A22633" w:rsidRPr="00E97889">
        <w:rPr>
          <w:bCs/>
          <w:szCs w:val="20"/>
        </w:rPr>
        <w:t>;</w:t>
      </w:r>
    </w:p>
    <w:p w14:paraId="676A6D93" w14:textId="77777777" w:rsidR="00C0622A" w:rsidRPr="00E97889" w:rsidRDefault="00C0622A" w:rsidP="00C0622A">
      <w:pPr>
        <w:pStyle w:val="PargrafodaLista"/>
        <w:rPr>
          <w:bCs/>
          <w:szCs w:val="20"/>
        </w:rPr>
      </w:pPr>
    </w:p>
    <w:p w14:paraId="37F4B038" w14:textId="77777777" w:rsidR="00C0622A" w:rsidRPr="00E97889" w:rsidRDefault="00A22633" w:rsidP="00C0622A">
      <w:pPr>
        <w:pStyle w:val="PargrafodaLista"/>
        <w:numPr>
          <w:ilvl w:val="0"/>
          <w:numId w:val="43"/>
        </w:numPr>
        <w:rPr>
          <w:bCs/>
          <w:szCs w:val="20"/>
        </w:rPr>
      </w:pPr>
      <w:proofErr w:type="gramStart"/>
      <w:r w:rsidRPr="00E97889">
        <w:rPr>
          <w:bCs/>
          <w:szCs w:val="20"/>
        </w:rPr>
        <w:t>monitorar</w:t>
      </w:r>
      <w:proofErr w:type="gramEnd"/>
      <w:r w:rsidRPr="00E97889">
        <w:rPr>
          <w:bCs/>
          <w:szCs w:val="20"/>
        </w:rPr>
        <w:t xml:space="preserve"> o grau de risco dos investimentos;</w:t>
      </w:r>
    </w:p>
    <w:p w14:paraId="41191B27" w14:textId="77777777" w:rsidR="00C0622A" w:rsidRPr="00E97889" w:rsidRDefault="00C0622A" w:rsidP="00C0622A">
      <w:pPr>
        <w:pStyle w:val="PargrafodaLista"/>
        <w:rPr>
          <w:bCs/>
          <w:szCs w:val="20"/>
        </w:rPr>
      </w:pPr>
    </w:p>
    <w:p w14:paraId="186DE1E3" w14:textId="77777777" w:rsidR="00C0622A" w:rsidRPr="00E97889" w:rsidRDefault="00A22633" w:rsidP="00C0622A">
      <w:pPr>
        <w:pStyle w:val="PargrafodaLista"/>
        <w:numPr>
          <w:ilvl w:val="0"/>
          <w:numId w:val="43"/>
        </w:numPr>
        <w:rPr>
          <w:bCs/>
          <w:szCs w:val="20"/>
        </w:rPr>
      </w:pPr>
      <w:proofErr w:type="gramStart"/>
      <w:r w:rsidRPr="00E97889">
        <w:rPr>
          <w:bCs/>
          <w:szCs w:val="20"/>
        </w:rPr>
        <w:t>observar</w:t>
      </w:r>
      <w:proofErr w:type="gramEnd"/>
      <w:r w:rsidRPr="00E97889">
        <w:rPr>
          <w:bCs/>
          <w:szCs w:val="20"/>
        </w:rPr>
        <w:t xml:space="preserve"> que </w:t>
      </w:r>
      <w:r w:rsidR="00FE0CD7" w:rsidRPr="00E97889">
        <w:rPr>
          <w:bCs/>
          <w:szCs w:val="20"/>
        </w:rPr>
        <w:t xml:space="preserve">a rentabilidade dos recursos </w:t>
      </w:r>
      <w:proofErr w:type="spellStart"/>
      <w:r w:rsidR="00FE0CD7" w:rsidRPr="00E97889">
        <w:rPr>
          <w:bCs/>
          <w:szCs w:val="20"/>
        </w:rPr>
        <w:t>esteja</w:t>
      </w:r>
      <w:proofErr w:type="spellEnd"/>
      <w:r w:rsidRPr="00E97889">
        <w:rPr>
          <w:bCs/>
          <w:szCs w:val="20"/>
        </w:rPr>
        <w:t xml:space="preserve"> de acordo com o nível de risco assumido;</w:t>
      </w:r>
    </w:p>
    <w:p w14:paraId="4A7F87E6" w14:textId="77777777" w:rsidR="00C0622A" w:rsidRPr="00E97889" w:rsidRDefault="00C0622A" w:rsidP="00C0622A">
      <w:pPr>
        <w:pStyle w:val="PargrafodaLista"/>
        <w:rPr>
          <w:bCs/>
          <w:szCs w:val="20"/>
        </w:rPr>
      </w:pPr>
    </w:p>
    <w:p w14:paraId="18CC5A5C" w14:textId="77777777" w:rsidR="00C0622A" w:rsidRPr="00E97889" w:rsidRDefault="00A22633" w:rsidP="00C0622A">
      <w:pPr>
        <w:pStyle w:val="PargrafodaLista"/>
        <w:numPr>
          <w:ilvl w:val="0"/>
          <w:numId w:val="43"/>
        </w:numPr>
        <w:rPr>
          <w:bCs/>
          <w:szCs w:val="20"/>
        </w:rPr>
      </w:pPr>
      <w:proofErr w:type="gramStart"/>
      <w:r w:rsidRPr="00E97889">
        <w:rPr>
          <w:bCs/>
          <w:szCs w:val="20"/>
        </w:rPr>
        <w:t>garantir</w:t>
      </w:r>
      <w:proofErr w:type="gramEnd"/>
      <w:r w:rsidRPr="00E97889">
        <w:rPr>
          <w:bCs/>
          <w:szCs w:val="20"/>
        </w:rPr>
        <w:t xml:space="preserve"> a gestão ética e transparente dos recursos;</w:t>
      </w:r>
    </w:p>
    <w:p w14:paraId="72B34C7E" w14:textId="77777777" w:rsidR="00C0622A" w:rsidRPr="00E97889" w:rsidRDefault="00C0622A" w:rsidP="00C0622A">
      <w:pPr>
        <w:pStyle w:val="PargrafodaLista"/>
        <w:rPr>
          <w:bCs/>
          <w:szCs w:val="20"/>
        </w:rPr>
      </w:pPr>
    </w:p>
    <w:p w14:paraId="700D4AFF" w14:textId="77777777" w:rsidR="00C0622A" w:rsidRPr="00E97889" w:rsidRDefault="00A22633" w:rsidP="00C0622A">
      <w:pPr>
        <w:pStyle w:val="PargrafodaLista"/>
        <w:numPr>
          <w:ilvl w:val="0"/>
          <w:numId w:val="43"/>
        </w:numPr>
        <w:rPr>
          <w:bCs/>
          <w:szCs w:val="20"/>
        </w:rPr>
      </w:pPr>
      <w:proofErr w:type="gramStart"/>
      <w:r w:rsidRPr="00E97889">
        <w:rPr>
          <w:bCs/>
          <w:szCs w:val="20"/>
        </w:rPr>
        <w:t>garantir</w:t>
      </w:r>
      <w:proofErr w:type="gramEnd"/>
      <w:r w:rsidRPr="00E97889">
        <w:rPr>
          <w:bCs/>
          <w:szCs w:val="20"/>
        </w:rPr>
        <w:t xml:space="preserve"> a execução dos processos internos voltados para </w:t>
      </w:r>
      <w:r w:rsidR="007B3F43" w:rsidRPr="00E97889">
        <w:rPr>
          <w:bCs/>
          <w:szCs w:val="20"/>
        </w:rPr>
        <w:t xml:space="preserve">área de </w:t>
      </w:r>
      <w:r w:rsidRPr="00E97889">
        <w:rPr>
          <w:bCs/>
          <w:szCs w:val="20"/>
        </w:rPr>
        <w:t>investimentos;</w:t>
      </w:r>
    </w:p>
    <w:p w14:paraId="49031E89" w14:textId="77777777" w:rsidR="00C0622A" w:rsidRPr="00E97889" w:rsidRDefault="00C0622A" w:rsidP="00C0622A">
      <w:pPr>
        <w:pStyle w:val="PargrafodaLista"/>
        <w:rPr>
          <w:bCs/>
          <w:szCs w:val="20"/>
        </w:rPr>
      </w:pPr>
    </w:p>
    <w:p w14:paraId="46B896D8" w14:textId="77777777" w:rsidR="00C0622A" w:rsidRPr="00E97889" w:rsidRDefault="00A22633" w:rsidP="00C0622A">
      <w:pPr>
        <w:pStyle w:val="PargrafodaLista"/>
        <w:numPr>
          <w:ilvl w:val="0"/>
          <w:numId w:val="43"/>
        </w:numPr>
        <w:rPr>
          <w:bCs/>
          <w:szCs w:val="20"/>
        </w:rPr>
      </w:pPr>
      <w:proofErr w:type="gramStart"/>
      <w:r w:rsidRPr="00E97889">
        <w:rPr>
          <w:bCs/>
          <w:szCs w:val="20"/>
        </w:rPr>
        <w:t>instaurar</w:t>
      </w:r>
      <w:proofErr w:type="gramEnd"/>
      <w:r w:rsidRPr="00E97889">
        <w:rPr>
          <w:bCs/>
          <w:szCs w:val="20"/>
        </w:rPr>
        <w:t xml:space="preserve"> sindicância no âmbito dos </w:t>
      </w:r>
      <w:r w:rsidR="007B3F43" w:rsidRPr="00E97889">
        <w:rPr>
          <w:bCs/>
          <w:szCs w:val="20"/>
        </w:rPr>
        <w:t>investimentos e processos de investimentos s</w:t>
      </w:r>
      <w:r w:rsidRPr="00E97889">
        <w:rPr>
          <w:bCs/>
          <w:szCs w:val="20"/>
        </w:rPr>
        <w:t>e assim houver a necessidade;</w:t>
      </w:r>
    </w:p>
    <w:p w14:paraId="327FA9B9" w14:textId="77777777" w:rsidR="00C0622A" w:rsidRPr="00E97889" w:rsidRDefault="00C0622A" w:rsidP="00C0622A">
      <w:pPr>
        <w:pStyle w:val="PargrafodaLista"/>
        <w:rPr>
          <w:bCs/>
          <w:szCs w:val="20"/>
        </w:rPr>
      </w:pPr>
    </w:p>
    <w:p w14:paraId="21E68D29" w14:textId="77777777" w:rsidR="00C0622A" w:rsidRPr="00E97889" w:rsidRDefault="007B3F43" w:rsidP="00C0622A">
      <w:pPr>
        <w:pStyle w:val="PargrafodaLista"/>
        <w:numPr>
          <w:ilvl w:val="0"/>
          <w:numId w:val="43"/>
        </w:numPr>
        <w:rPr>
          <w:bCs/>
          <w:szCs w:val="20"/>
        </w:rPr>
      </w:pPr>
      <w:proofErr w:type="gramStart"/>
      <w:r w:rsidRPr="00E97889">
        <w:rPr>
          <w:bCs/>
          <w:szCs w:val="20"/>
        </w:rPr>
        <w:t>executar</w:t>
      </w:r>
      <w:proofErr w:type="gramEnd"/>
      <w:r w:rsidRPr="00E97889">
        <w:rPr>
          <w:bCs/>
          <w:szCs w:val="20"/>
        </w:rPr>
        <w:t xml:space="preserve"> plano de contingência no âmbito dos investimentos conforme definido em Política de Investimentos se assim houver a necessidade;</w:t>
      </w:r>
    </w:p>
    <w:p w14:paraId="24C23078" w14:textId="77777777" w:rsidR="00C0622A" w:rsidRPr="00E97889" w:rsidRDefault="00C0622A" w:rsidP="00C0622A">
      <w:pPr>
        <w:pStyle w:val="PargrafodaLista"/>
        <w:rPr>
          <w:bCs/>
          <w:szCs w:val="20"/>
        </w:rPr>
      </w:pPr>
    </w:p>
    <w:p w14:paraId="5595672F" w14:textId="0BA75C1B" w:rsidR="00C0622A" w:rsidRPr="00E97889" w:rsidRDefault="00A22633" w:rsidP="00C0622A">
      <w:pPr>
        <w:pStyle w:val="PargrafodaLista"/>
        <w:numPr>
          <w:ilvl w:val="0"/>
          <w:numId w:val="43"/>
        </w:numPr>
        <w:rPr>
          <w:bCs/>
          <w:szCs w:val="20"/>
        </w:rPr>
      </w:pPr>
      <w:proofErr w:type="gramStart"/>
      <w:r w:rsidRPr="00E97889">
        <w:rPr>
          <w:bCs/>
          <w:szCs w:val="20"/>
        </w:rPr>
        <w:t>garantir</w:t>
      </w:r>
      <w:proofErr w:type="gramEnd"/>
      <w:r w:rsidRPr="00E97889">
        <w:rPr>
          <w:bCs/>
          <w:szCs w:val="20"/>
        </w:rPr>
        <w:t xml:space="preserve"> a execução, o cumprimento e acompanhamento do Credenciamento da</w:t>
      </w:r>
      <w:r w:rsidR="00750683" w:rsidRPr="00E97889">
        <w:rPr>
          <w:bCs/>
          <w:szCs w:val="20"/>
        </w:rPr>
        <w:t>s</w:t>
      </w:r>
      <w:r w:rsidRPr="00E97889">
        <w:rPr>
          <w:bCs/>
          <w:szCs w:val="20"/>
        </w:rPr>
        <w:t xml:space="preserve"> Instituições Financeiras;</w:t>
      </w:r>
    </w:p>
    <w:p w14:paraId="5FA464E4" w14:textId="77777777" w:rsidR="00C0622A" w:rsidRPr="00E97889" w:rsidRDefault="00C0622A" w:rsidP="00C0622A">
      <w:pPr>
        <w:pStyle w:val="PargrafodaLista"/>
        <w:rPr>
          <w:bCs/>
          <w:szCs w:val="20"/>
        </w:rPr>
      </w:pPr>
    </w:p>
    <w:p w14:paraId="700CB3A0" w14:textId="77777777" w:rsidR="0000430A" w:rsidRPr="00E97889" w:rsidRDefault="00A22633" w:rsidP="00C0622A">
      <w:pPr>
        <w:pStyle w:val="PargrafodaLista"/>
        <w:numPr>
          <w:ilvl w:val="0"/>
          <w:numId w:val="43"/>
        </w:numPr>
        <w:rPr>
          <w:bCs/>
          <w:szCs w:val="20"/>
        </w:rPr>
      </w:pPr>
      <w:proofErr w:type="gramStart"/>
      <w:r w:rsidRPr="00E97889">
        <w:rPr>
          <w:bCs/>
          <w:szCs w:val="20"/>
        </w:rPr>
        <w:t>garantir</w:t>
      </w:r>
      <w:proofErr w:type="gramEnd"/>
      <w:r w:rsidRPr="00E97889">
        <w:rPr>
          <w:bCs/>
          <w:szCs w:val="20"/>
        </w:rPr>
        <w:t xml:space="preserve"> que </w:t>
      </w:r>
      <w:r w:rsidR="007B3F43" w:rsidRPr="00E97889">
        <w:rPr>
          <w:bCs/>
          <w:szCs w:val="20"/>
        </w:rPr>
        <w:t>a Alocação Estratégica</w:t>
      </w:r>
      <w:r w:rsidRPr="00E97889">
        <w:rPr>
          <w:bCs/>
          <w:szCs w:val="20"/>
        </w:rPr>
        <w:t xml:space="preserve"> esteja em consonância com os estudos técnicos que nortearam o equilíbrio atuarial e financeiro e</w:t>
      </w:r>
    </w:p>
    <w:p w14:paraId="3253F198" w14:textId="77777777" w:rsidR="0000430A" w:rsidRPr="00E97889" w:rsidRDefault="0000430A" w:rsidP="0000430A">
      <w:pPr>
        <w:pStyle w:val="PargrafodaLista"/>
        <w:rPr>
          <w:bCs/>
          <w:szCs w:val="20"/>
        </w:rPr>
      </w:pPr>
    </w:p>
    <w:p w14:paraId="1FEB3600" w14:textId="40DCC209" w:rsidR="00A22633" w:rsidRPr="00E97889" w:rsidRDefault="00A22633" w:rsidP="00C0622A">
      <w:pPr>
        <w:pStyle w:val="PargrafodaLista"/>
        <w:numPr>
          <w:ilvl w:val="0"/>
          <w:numId w:val="43"/>
        </w:numPr>
        <w:rPr>
          <w:bCs/>
          <w:szCs w:val="20"/>
        </w:rPr>
      </w:pPr>
      <w:proofErr w:type="gramStart"/>
      <w:r w:rsidRPr="00E97889">
        <w:rPr>
          <w:bCs/>
          <w:szCs w:val="20"/>
        </w:rPr>
        <w:t>qualquer</w:t>
      </w:r>
      <w:proofErr w:type="gramEnd"/>
      <w:r w:rsidRPr="00E97889">
        <w:rPr>
          <w:bCs/>
          <w:szCs w:val="20"/>
        </w:rPr>
        <w:t xml:space="preserve"> outra atividade relacionada diretamente a </w:t>
      </w:r>
      <w:r w:rsidR="007B3F43" w:rsidRPr="00E97889">
        <w:rPr>
          <w:bCs/>
          <w:szCs w:val="20"/>
        </w:rPr>
        <w:t xml:space="preserve">área de </w:t>
      </w:r>
      <w:r w:rsidRPr="00E97889">
        <w:rPr>
          <w:bCs/>
          <w:szCs w:val="20"/>
        </w:rPr>
        <w:t>investimentos.</w:t>
      </w:r>
    </w:p>
    <w:p w14:paraId="1D835B72" w14:textId="17039289" w:rsidR="00A22633" w:rsidRPr="00E97889" w:rsidRDefault="00A22633" w:rsidP="00C0622A">
      <w:pPr>
        <w:rPr>
          <w:bCs/>
          <w:szCs w:val="20"/>
        </w:rPr>
      </w:pPr>
      <w:r w:rsidRPr="00E97889">
        <w:rPr>
          <w:bCs/>
          <w:szCs w:val="20"/>
        </w:rPr>
        <w:t>Todo o acompanhamento promovido pelo Comitê de Investimentos será designado em formato de relatório</w:t>
      </w:r>
      <w:r w:rsidR="007B3F43" w:rsidRPr="00E97889">
        <w:rPr>
          <w:bCs/>
          <w:szCs w:val="20"/>
        </w:rPr>
        <w:t xml:space="preserve"> e/ou parecer</w:t>
      </w:r>
      <w:r w:rsidRPr="00E97889">
        <w:rPr>
          <w:bCs/>
          <w:szCs w:val="20"/>
        </w:rPr>
        <w:t xml:space="preserve">, sendo disponibilizado para apreciação, análise, contestação e </w:t>
      </w:r>
      <w:r w:rsidRPr="00E97889">
        <w:rPr>
          <w:bCs/>
          <w:szCs w:val="20"/>
        </w:rPr>
        <w:lastRenderedPageBreak/>
        <w:t xml:space="preserve">aprovação por parte do Conselho de Deliberação. Sua periodicidade se adequada ao porte do </w:t>
      </w:r>
      <w:r w:rsidR="00163DF1">
        <w:rPr>
          <w:b/>
          <w:bCs/>
          <w:color w:val="000000" w:themeColor="text1"/>
          <w:szCs w:val="20"/>
        </w:rPr>
        <w:t>MUNICÍ</w:t>
      </w:r>
      <w:r w:rsidR="00163DF1" w:rsidRPr="006053F5">
        <w:rPr>
          <w:b/>
          <w:bCs/>
          <w:color w:val="000000" w:themeColor="text1"/>
          <w:szCs w:val="20"/>
        </w:rPr>
        <w:t>PIO</w:t>
      </w:r>
      <w:r w:rsidR="00163DF1" w:rsidRPr="00716D43">
        <w:rPr>
          <w:b/>
          <w:color w:val="000000" w:themeColor="text1"/>
        </w:rPr>
        <w:t xml:space="preserve"> </w:t>
      </w:r>
      <w:r w:rsidR="00A54E10" w:rsidRPr="00716D43">
        <w:rPr>
          <w:b/>
          <w:color w:val="000000" w:themeColor="text1"/>
        </w:rPr>
        <w:t>DE GUARACI</w:t>
      </w:r>
      <w:r w:rsidRPr="00E97889">
        <w:rPr>
          <w:bCs/>
          <w:szCs w:val="20"/>
        </w:rPr>
        <w:t>.</w:t>
      </w:r>
    </w:p>
    <w:p w14:paraId="19773E3F" w14:textId="7B31C946" w:rsidR="00B60B7D" w:rsidRPr="00516AB2" w:rsidRDefault="00A22633" w:rsidP="00432D94">
      <w:pPr>
        <w:rPr>
          <w:bCs/>
          <w:szCs w:val="20"/>
        </w:rPr>
      </w:pPr>
      <w:r w:rsidRPr="00E97889">
        <w:rPr>
          <w:bCs/>
          <w:szCs w:val="20"/>
        </w:rPr>
        <w:t xml:space="preserve">Os relatórios </w:t>
      </w:r>
      <w:r w:rsidR="007B3F43" w:rsidRPr="00E97889">
        <w:rPr>
          <w:bCs/>
          <w:szCs w:val="20"/>
        </w:rPr>
        <w:t xml:space="preserve">e/ou pareceres </w:t>
      </w:r>
      <w:r w:rsidRPr="00E97889">
        <w:rPr>
          <w:bCs/>
          <w:szCs w:val="20"/>
        </w:rPr>
        <w:t xml:space="preserve">supracitados serão mantidos e colocados à </w:t>
      </w:r>
      <w:r w:rsidR="00A2054C" w:rsidRPr="00E97889">
        <w:rPr>
          <w:bCs/>
          <w:szCs w:val="20"/>
        </w:rPr>
        <w:t>disposição do</w:t>
      </w:r>
      <w:r w:rsidR="0026139D" w:rsidRPr="00E97889">
        <w:rPr>
          <w:bCs/>
          <w:szCs w:val="20"/>
        </w:rPr>
        <w:t xml:space="preserve"> Ministério da </w:t>
      </w:r>
      <w:r w:rsidRPr="00E97889">
        <w:rPr>
          <w:bCs/>
          <w:szCs w:val="20"/>
        </w:rPr>
        <w:t xml:space="preserve">Secretária da </w:t>
      </w:r>
      <w:r w:rsidR="00DC6BCA" w:rsidRPr="00E97889">
        <w:rPr>
          <w:bCs/>
          <w:szCs w:val="20"/>
        </w:rPr>
        <w:t>Previdência</w:t>
      </w:r>
      <w:r w:rsidRPr="00E97889">
        <w:rPr>
          <w:bCs/>
          <w:szCs w:val="20"/>
        </w:rPr>
        <w:t xml:space="preserve"> </w:t>
      </w:r>
      <w:r w:rsidR="0026139D" w:rsidRPr="00E97889">
        <w:rPr>
          <w:bCs/>
          <w:szCs w:val="20"/>
        </w:rPr>
        <w:t>e Trabalho, Secret</w:t>
      </w:r>
      <w:r w:rsidR="00DC6BCA" w:rsidRPr="00E97889">
        <w:rPr>
          <w:bCs/>
          <w:szCs w:val="20"/>
        </w:rPr>
        <w:t>á</w:t>
      </w:r>
      <w:r w:rsidR="0026139D" w:rsidRPr="00E97889">
        <w:rPr>
          <w:bCs/>
          <w:szCs w:val="20"/>
        </w:rPr>
        <w:t xml:space="preserve">ria de Previdência </w:t>
      </w:r>
      <w:r w:rsidRPr="00E97889">
        <w:rPr>
          <w:bCs/>
          <w:szCs w:val="20"/>
        </w:rPr>
        <w:t>Social - SPREV, Tribunal de Contas do Estado, Conselho Fiscal</w:t>
      </w:r>
      <w:r w:rsidR="0026139D" w:rsidRPr="00E97889">
        <w:rPr>
          <w:bCs/>
          <w:szCs w:val="20"/>
        </w:rPr>
        <w:t>, Controle Interno</w:t>
      </w:r>
      <w:r w:rsidRPr="00E97889">
        <w:rPr>
          <w:bCs/>
          <w:szCs w:val="20"/>
        </w:rPr>
        <w:t xml:space="preserve"> e demais órgãos fiscalizadores e interessados.</w:t>
      </w:r>
      <w:bookmarkStart w:id="133" w:name="_Toc490036564"/>
    </w:p>
    <w:p w14:paraId="0E9BB3E2" w14:textId="62B8047E" w:rsidR="006B0FB7" w:rsidRPr="00516AB2" w:rsidRDefault="006B0FB7" w:rsidP="0000430A">
      <w:pPr>
        <w:pStyle w:val="Ttulo1"/>
        <w:spacing w:before="360"/>
      </w:pPr>
      <w:bookmarkStart w:id="134" w:name="_Toc118105172"/>
      <w:r w:rsidRPr="00516AB2">
        <w:t>DISPOSIÇÕES GERAIS</w:t>
      </w:r>
      <w:bookmarkEnd w:id="133"/>
      <w:bookmarkEnd w:id="134"/>
    </w:p>
    <w:p w14:paraId="06509309" w14:textId="16CA1546" w:rsidR="006B0FB7" w:rsidRPr="00516AB2" w:rsidRDefault="006B0FB7" w:rsidP="0000430A">
      <w:pPr>
        <w:rPr>
          <w:bCs/>
          <w:szCs w:val="20"/>
        </w:rPr>
      </w:pPr>
      <w:r w:rsidRPr="00516AB2">
        <w:rPr>
          <w:bCs/>
          <w:szCs w:val="20"/>
        </w:rPr>
        <w:t xml:space="preserve">A presente Política de Investimentos poderá ser revista no curso de sua execução e </w:t>
      </w:r>
      <w:r w:rsidR="00497B8F">
        <w:rPr>
          <w:bCs/>
          <w:szCs w:val="20"/>
        </w:rPr>
        <w:t xml:space="preserve">deverá ser </w:t>
      </w:r>
      <w:r w:rsidRPr="00516AB2">
        <w:rPr>
          <w:bCs/>
          <w:szCs w:val="20"/>
        </w:rPr>
        <w:t xml:space="preserve">monitorada no curto prazo, a contar da data de sua aprovação pelo órgão superior competente do </w:t>
      </w:r>
      <w:r w:rsidR="00163DF1">
        <w:rPr>
          <w:b/>
          <w:bCs/>
          <w:color w:val="000000" w:themeColor="text1"/>
          <w:szCs w:val="20"/>
        </w:rPr>
        <w:t>MUNICÍ</w:t>
      </w:r>
      <w:r w:rsidR="00163DF1" w:rsidRPr="006053F5">
        <w:rPr>
          <w:b/>
          <w:bCs/>
          <w:color w:val="000000" w:themeColor="text1"/>
          <w:szCs w:val="20"/>
        </w:rPr>
        <w:t>PIO</w:t>
      </w:r>
      <w:r w:rsidR="00163DF1" w:rsidRPr="00716D43">
        <w:rPr>
          <w:b/>
          <w:color w:val="000000" w:themeColor="text1"/>
        </w:rPr>
        <w:t xml:space="preserve"> </w:t>
      </w:r>
      <w:r w:rsidR="00A54E10" w:rsidRPr="00716D43">
        <w:rPr>
          <w:b/>
          <w:color w:val="000000" w:themeColor="text1"/>
        </w:rPr>
        <w:t>DE GUARACI</w:t>
      </w:r>
      <w:r w:rsidRPr="00516AB2">
        <w:rPr>
          <w:bCs/>
          <w:szCs w:val="20"/>
        </w:rPr>
        <w:t xml:space="preserve">, sendo que o prazo de validade compreenderá </w:t>
      </w:r>
      <w:r w:rsidR="00042680">
        <w:rPr>
          <w:bCs/>
          <w:szCs w:val="20"/>
        </w:rPr>
        <w:t>apenas o</w:t>
      </w:r>
      <w:r w:rsidRPr="00516AB2">
        <w:rPr>
          <w:bCs/>
          <w:szCs w:val="20"/>
        </w:rPr>
        <w:t xml:space="preserve"> ano d</w:t>
      </w:r>
      <w:r w:rsidRPr="00E97889">
        <w:rPr>
          <w:bCs/>
          <w:szCs w:val="20"/>
        </w:rPr>
        <w:t xml:space="preserve">e </w:t>
      </w:r>
      <w:r w:rsidR="00CB3977" w:rsidRPr="00E97889">
        <w:rPr>
          <w:bCs/>
          <w:szCs w:val="20"/>
        </w:rPr>
        <w:t>20</w:t>
      </w:r>
      <w:r w:rsidR="00974AD8" w:rsidRPr="00E97889">
        <w:rPr>
          <w:bCs/>
          <w:szCs w:val="20"/>
        </w:rPr>
        <w:t>2</w:t>
      </w:r>
      <w:r w:rsidR="007A1214" w:rsidRPr="00E97889">
        <w:rPr>
          <w:bCs/>
          <w:szCs w:val="20"/>
        </w:rPr>
        <w:t>2</w:t>
      </w:r>
      <w:r w:rsidRPr="00E97889">
        <w:rPr>
          <w:bCs/>
          <w:szCs w:val="20"/>
        </w:rPr>
        <w:t>.</w:t>
      </w:r>
    </w:p>
    <w:p w14:paraId="5C258102" w14:textId="1F29C80D" w:rsidR="006B0FB7" w:rsidRDefault="006B0FB7" w:rsidP="0000430A">
      <w:pPr>
        <w:rPr>
          <w:bCs/>
          <w:szCs w:val="20"/>
        </w:rPr>
      </w:pPr>
      <w:r w:rsidRPr="00516AB2">
        <w:rPr>
          <w:bCs/>
          <w:szCs w:val="20"/>
        </w:rPr>
        <w:t xml:space="preserve">Reuniões extraordinárias </w:t>
      </w:r>
      <w:r w:rsidR="007B3F43">
        <w:rPr>
          <w:bCs/>
          <w:szCs w:val="20"/>
        </w:rPr>
        <w:t xml:space="preserve">promovidas pelo </w:t>
      </w:r>
      <w:r w:rsidR="00497B8F">
        <w:rPr>
          <w:bCs/>
          <w:szCs w:val="20"/>
        </w:rPr>
        <w:t xml:space="preserve">Comitê de Investimentos e posteriormente com </w:t>
      </w:r>
      <w:r w:rsidRPr="00516AB2">
        <w:rPr>
          <w:bCs/>
          <w:szCs w:val="20"/>
        </w:rPr>
        <w:t xml:space="preserve">Conselho </w:t>
      </w:r>
      <w:r w:rsidR="00497B8F">
        <w:rPr>
          <w:bCs/>
          <w:szCs w:val="20"/>
        </w:rPr>
        <w:t xml:space="preserve">Deliberativo </w:t>
      </w:r>
      <w:r w:rsidRPr="00516AB2">
        <w:rPr>
          <w:bCs/>
          <w:szCs w:val="20"/>
        </w:rPr>
        <w:t>do</w:t>
      </w:r>
      <w:r w:rsidR="00CC4CDE">
        <w:rPr>
          <w:bCs/>
          <w:szCs w:val="20"/>
        </w:rPr>
        <w:t xml:space="preserve"> </w:t>
      </w:r>
      <w:r w:rsidR="00163DF1">
        <w:rPr>
          <w:b/>
          <w:bCs/>
          <w:color w:val="000000" w:themeColor="text1"/>
          <w:szCs w:val="20"/>
        </w:rPr>
        <w:t>MUNICÍ</w:t>
      </w:r>
      <w:r w:rsidR="00163DF1" w:rsidRPr="006053F5">
        <w:rPr>
          <w:b/>
          <w:bCs/>
          <w:color w:val="000000" w:themeColor="text1"/>
          <w:szCs w:val="20"/>
        </w:rPr>
        <w:t>PIO</w:t>
      </w:r>
      <w:r w:rsidR="00163DF1" w:rsidRPr="00716D43">
        <w:rPr>
          <w:b/>
          <w:color w:val="000000" w:themeColor="text1"/>
        </w:rPr>
        <w:t xml:space="preserve"> </w:t>
      </w:r>
      <w:r w:rsidR="00A54E10" w:rsidRPr="00716D43">
        <w:rPr>
          <w:b/>
          <w:color w:val="000000" w:themeColor="text1"/>
        </w:rPr>
        <w:t>DE GUARACI</w:t>
      </w:r>
      <w:r w:rsidR="00497B8F">
        <w:rPr>
          <w:bCs/>
          <w:szCs w:val="20"/>
        </w:rPr>
        <w:t>,</w:t>
      </w:r>
      <w:r w:rsidRPr="00516AB2">
        <w:rPr>
          <w:bCs/>
          <w:szCs w:val="20"/>
        </w:rPr>
        <w:t xml:space="preserve"> serão realizadas sempre que houver necessidade de ajustes nesta </w:t>
      </w:r>
      <w:r w:rsidR="00974AD8">
        <w:rPr>
          <w:bCs/>
          <w:szCs w:val="20"/>
        </w:rPr>
        <w:t>P</w:t>
      </w:r>
      <w:r w:rsidRPr="00516AB2">
        <w:rPr>
          <w:bCs/>
          <w:szCs w:val="20"/>
        </w:rPr>
        <w:t xml:space="preserve">olítica de </w:t>
      </w:r>
      <w:r w:rsidR="00974AD8">
        <w:rPr>
          <w:bCs/>
          <w:szCs w:val="20"/>
        </w:rPr>
        <w:t>I</w:t>
      </w:r>
      <w:r w:rsidRPr="00516AB2">
        <w:rPr>
          <w:bCs/>
          <w:szCs w:val="20"/>
        </w:rPr>
        <w:t>nvestimentos perante o comportamento/conjuntura do mercado, quando se apresentar o interesse da preservação dos ativos financeiros e/ou com vistas à adequação à nova legislação.</w:t>
      </w:r>
    </w:p>
    <w:p w14:paraId="2D65C711" w14:textId="1B19B022" w:rsidR="00F11AB6" w:rsidRPr="00516AB2" w:rsidRDefault="007B3F43" w:rsidP="0000430A">
      <w:pPr>
        <w:rPr>
          <w:bCs/>
          <w:szCs w:val="20"/>
        </w:rPr>
      </w:pPr>
      <w:r>
        <w:rPr>
          <w:bCs/>
          <w:szCs w:val="20"/>
        </w:rPr>
        <w:t>A</w:t>
      </w:r>
      <w:r w:rsidR="00F11AB6">
        <w:rPr>
          <w:bCs/>
          <w:szCs w:val="20"/>
        </w:rPr>
        <w:t xml:space="preserve"> Política de Investimentos e suas possíveis revisões</w:t>
      </w:r>
      <w:r w:rsidR="00CB57B4">
        <w:rPr>
          <w:bCs/>
          <w:szCs w:val="20"/>
        </w:rPr>
        <w:t>;</w:t>
      </w:r>
      <w:r w:rsidR="00F11AB6">
        <w:rPr>
          <w:bCs/>
          <w:szCs w:val="20"/>
        </w:rPr>
        <w:t xml:space="preserve"> a documentação que os fundamenta, bem como as aprovações exigidas</w:t>
      </w:r>
      <w:r>
        <w:rPr>
          <w:bCs/>
          <w:szCs w:val="20"/>
        </w:rPr>
        <w:t>,</w:t>
      </w:r>
      <w:r w:rsidR="00F11AB6">
        <w:rPr>
          <w:bCs/>
          <w:szCs w:val="20"/>
        </w:rPr>
        <w:t xml:space="preserve"> </w:t>
      </w:r>
      <w:r w:rsidR="005834DC">
        <w:rPr>
          <w:bCs/>
          <w:szCs w:val="20"/>
        </w:rPr>
        <w:t xml:space="preserve">permanecerão </w:t>
      </w:r>
      <w:r w:rsidR="00F11AB6">
        <w:rPr>
          <w:bCs/>
          <w:szCs w:val="20"/>
        </w:rPr>
        <w:t>à disposição dos órgãos de acompanhamento, supervisão e fiscalização pelo prazo de 10 (dez) anos.</w:t>
      </w:r>
    </w:p>
    <w:p w14:paraId="25D3012B" w14:textId="20A4EC17" w:rsidR="006B0FB7" w:rsidRPr="00516AB2" w:rsidRDefault="006B0FB7" w:rsidP="0000430A">
      <w:pPr>
        <w:rPr>
          <w:bCs/>
          <w:szCs w:val="20"/>
        </w:rPr>
      </w:pPr>
      <w:r w:rsidRPr="00671E7A">
        <w:rPr>
          <w:bCs/>
          <w:szCs w:val="20"/>
        </w:rPr>
        <w:t xml:space="preserve">Deverão estar certificados os responsáveis pelo acompanhamento e operacionalização dos investimentos do </w:t>
      </w:r>
      <w:r w:rsidR="00163DF1">
        <w:rPr>
          <w:b/>
          <w:bCs/>
          <w:color w:val="000000" w:themeColor="text1"/>
          <w:szCs w:val="20"/>
        </w:rPr>
        <w:t>MUNICÍ</w:t>
      </w:r>
      <w:r w:rsidR="00163DF1" w:rsidRPr="006053F5">
        <w:rPr>
          <w:b/>
          <w:bCs/>
          <w:color w:val="000000" w:themeColor="text1"/>
          <w:szCs w:val="20"/>
        </w:rPr>
        <w:t>PIO</w:t>
      </w:r>
      <w:r w:rsidR="00163DF1" w:rsidRPr="00716D43">
        <w:rPr>
          <w:b/>
          <w:color w:val="000000" w:themeColor="text1"/>
        </w:rPr>
        <w:t xml:space="preserve"> </w:t>
      </w:r>
      <w:r w:rsidR="00A54E10" w:rsidRPr="00716D43">
        <w:rPr>
          <w:b/>
          <w:color w:val="000000" w:themeColor="text1"/>
        </w:rPr>
        <w:t>DE GUARACI</w:t>
      </w:r>
      <w:r w:rsidRPr="00671E7A">
        <w:rPr>
          <w:bCs/>
          <w:szCs w:val="20"/>
        </w:rPr>
        <w:t xml:space="preserve">, através de exame de certificação organizado por entidade autônoma de reconhecida capacidade técnica e difusão no mercado brasileiro de capitais, cujo conteúdo abrangerá, no mínimo, o contido no anexo a Portaria nº </w:t>
      </w:r>
      <w:r w:rsidR="00387DC9" w:rsidRPr="00671E7A">
        <w:rPr>
          <w:bCs/>
          <w:szCs w:val="20"/>
        </w:rPr>
        <w:t>1</w:t>
      </w:r>
      <w:r w:rsidR="00324801">
        <w:rPr>
          <w:bCs/>
          <w:szCs w:val="20"/>
        </w:rPr>
        <w:t>.</w:t>
      </w:r>
      <w:r w:rsidR="00387DC9" w:rsidRPr="00671E7A">
        <w:rPr>
          <w:bCs/>
          <w:szCs w:val="20"/>
        </w:rPr>
        <w:t>467</w:t>
      </w:r>
      <w:r w:rsidR="00944DA8" w:rsidRPr="00671E7A">
        <w:rPr>
          <w:bCs/>
          <w:szCs w:val="20"/>
        </w:rPr>
        <w:t>/</w:t>
      </w:r>
      <w:r w:rsidRPr="00671E7A">
        <w:rPr>
          <w:bCs/>
          <w:szCs w:val="20"/>
        </w:rPr>
        <w:t>20</w:t>
      </w:r>
      <w:r w:rsidR="00387DC9" w:rsidRPr="00671E7A">
        <w:rPr>
          <w:bCs/>
          <w:szCs w:val="20"/>
        </w:rPr>
        <w:t>22</w:t>
      </w:r>
      <w:r w:rsidR="00DA171C">
        <w:rPr>
          <w:bCs/>
          <w:szCs w:val="20"/>
        </w:rPr>
        <w:t>, Art</w:t>
      </w:r>
      <w:r w:rsidR="00CF4183">
        <w:rPr>
          <w:bCs/>
          <w:szCs w:val="20"/>
        </w:rPr>
        <w:t>.</w:t>
      </w:r>
      <w:r w:rsidR="00324801">
        <w:rPr>
          <w:bCs/>
          <w:szCs w:val="20"/>
        </w:rPr>
        <w:t xml:space="preserve"> </w:t>
      </w:r>
      <w:r w:rsidR="00DA171C">
        <w:rPr>
          <w:bCs/>
          <w:szCs w:val="20"/>
        </w:rPr>
        <w:t xml:space="preserve"> 76, Inciso II</w:t>
      </w:r>
      <w:r w:rsidRPr="00671E7A">
        <w:rPr>
          <w:bCs/>
          <w:szCs w:val="20"/>
        </w:rPr>
        <w:t>.</w:t>
      </w:r>
      <w:r w:rsidRPr="00516AB2">
        <w:rPr>
          <w:bCs/>
          <w:szCs w:val="20"/>
        </w:rPr>
        <w:t xml:space="preserve"> </w:t>
      </w:r>
    </w:p>
    <w:p w14:paraId="2AE0A77D" w14:textId="77777777" w:rsidR="006B0FB7" w:rsidRPr="00516AB2" w:rsidRDefault="006B0FB7" w:rsidP="0000430A">
      <w:pPr>
        <w:rPr>
          <w:bCs/>
          <w:szCs w:val="20"/>
        </w:rPr>
      </w:pPr>
      <w:r w:rsidRPr="00516AB2">
        <w:rPr>
          <w:bCs/>
          <w:szCs w:val="20"/>
        </w:rPr>
        <w:t xml:space="preserve">A comprovação da habilitação ocorrerá mediante o preenchimento dos campos específicos constantes do Demonstrativo da Política de Investimentos - DPIN e do Demonstrativo de Aplicações e Investimentos dos Recursos - DAIR. </w:t>
      </w:r>
    </w:p>
    <w:p w14:paraId="07862A39" w14:textId="55DE4095" w:rsidR="006B0FB7" w:rsidRPr="00E97889" w:rsidRDefault="006B0FB7" w:rsidP="0000430A">
      <w:pPr>
        <w:rPr>
          <w:bCs/>
          <w:szCs w:val="20"/>
        </w:rPr>
      </w:pPr>
      <w:r w:rsidRPr="00516AB2">
        <w:rPr>
          <w:bCs/>
          <w:szCs w:val="20"/>
        </w:rPr>
        <w:t xml:space="preserve">As Instituições Financeiras que operem e que venham a operar com o </w:t>
      </w:r>
      <w:r w:rsidR="00163DF1">
        <w:rPr>
          <w:b/>
          <w:bCs/>
          <w:color w:val="000000" w:themeColor="text1"/>
          <w:szCs w:val="20"/>
        </w:rPr>
        <w:t>MUNICÍ</w:t>
      </w:r>
      <w:r w:rsidR="00163DF1" w:rsidRPr="006053F5">
        <w:rPr>
          <w:b/>
          <w:bCs/>
          <w:color w:val="000000" w:themeColor="text1"/>
          <w:szCs w:val="20"/>
        </w:rPr>
        <w:t>PIO</w:t>
      </w:r>
      <w:r w:rsidR="00163DF1" w:rsidRPr="00716D43">
        <w:rPr>
          <w:b/>
          <w:color w:val="000000" w:themeColor="text1"/>
        </w:rPr>
        <w:t xml:space="preserve"> </w:t>
      </w:r>
      <w:r w:rsidR="00A54E10" w:rsidRPr="00716D43">
        <w:rPr>
          <w:b/>
          <w:color w:val="000000" w:themeColor="text1"/>
        </w:rPr>
        <w:t>DE GUARACI</w:t>
      </w:r>
      <w:r w:rsidR="00A54E10" w:rsidRPr="00516AB2">
        <w:t xml:space="preserve"> </w:t>
      </w:r>
      <w:r w:rsidRPr="00516AB2">
        <w:rPr>
          <w:bCs/>
          <w:szCs w:val="20"/>
        </w:rPr>
        <w:t xml:space="preserve">poderão, a título institucional, oferecer apoio técnico através de cursos, seminários e workshops ministrados por profissionais de mercado e/ou funcionários das Instituições para capacitação de servidores e membros dos órgãos colegiados; bem como, contraprestação de serviços e projetos de iniciativa do </w:t>
      </w:r>
      <w:r w:rsidR="00163DF1">
        <w:rPr>
          <w:b/>
          <w:bCs/>
          <w:color w:val="000000" w:themeColor="text1"/>
          <w:szCs w:val="20"/>
        </w:rPr>
        <w:t>MUNICÍ</w:t>
      </w:r>
      <w:r w:rsidR="00163DF1" w:rsidRPr="006053F5">
        <w:rPr>
          <w:b/>
          <w:bCs/>
          <w:color w:val="000000" w:themeColor="text1"/>
          <w:szCs w:val="20"/>
        </w:rPr>
        <w:t>PIO</w:t>
      </w:r>
      <w:r w:rsidR="00163DF1" w:rsidRPr="00716D43">
        <w:rPr>
          <w:b/>
          <w:color w:val="000000" w:themeColor="text1"/>
        </w:rPr>
        <w:t xml:space="preserve"> </w:t>
      </w:r>
      <w:r w:rsidR="00A54E10" w:rsidRPr="00716D43">
        <w:rPr>
          <w:b/>
          <w:color w:val="000000" w:themeColor="text1"/>
        </w:rPr>
        <w:t>DE GUARACI</w:t>
      </w:r>
      <w:r w:rsidRPr="00516AB2">
        <w:rPr>
          <w:bCs/>
          <w:szCs w:val="20"/>
        </w:rPr>
        <w:t xml:space="preserve">, sem que haja ônus ou compromisso </w:t>
      </w:r>
      <w:r w:rsidRPr="00E97889">
        <w:rPr>
          <w:bCs/>
          <w:szCs w:val="20"/>
        </w:rPr>
        <w:t>vinculados aos produtos de investimentos.</w:t>
      </w:r>
    </w:p>
    <w:p w14:paraId="668EA344" w14:textId="2F0BCC9B" w:rsidR="006B0FB7" w:rsidRPr="00E97889" w:rsidRDefault="006B0FB7" w:rsidP="0000430A">
      <w:pPr>
        <w:rPr>
          <w:bCs/>
          <w:szCs w:val="20"/>
        </w:rPr>
      </w:pPr>
      <w:r w:rsidRPr="00E97889">
        <w:rPr>
          <w:bCs/>
          <w:szCs w:val="20"/>
        </w:rPr>
        <w:t xml:space="preserve">Casos omissos nesta Política de Investimentos remetem-se à Resolução CMN n° </w:t>
      </w:r>
      <w:r w:rsidR="00226D97" w:rsidRPr="00E97889">
        <w:rPr>
          <w:bCs/>
          <w:szCs w:val="20"/>
        </w:rPr>
        <w:t>4.963/2021</w:t>
      </w:r>
      <w:r w:rsidR="00E81B0B" w:rsidRPr="00E97889">
        <w:rPr>
          <w:bCs/>
          <w:szCs w:val="20"/>
        </w:rPr>
        <w:t xml:space="preserve"> e suas </w:t>
      </w:r>
      <w:r w:rsidRPr="00E97889">
        <w:rPr>
          <w:bCs/>
          <w:szCs w:val="20"/>
        </w:rPr>
        <w:t xml:space="preserve">e à Portaria nº </w:t>
      </w:r>
      <w:r w:rsidR="00387DC9" w:rsidRPr="00E97889">
        <w:rPr>
          <w:bCs/>
          <w:szCs w:val="20"/>
        </w:rPr>
        <w:t>1</w:t>
      </w:r>
      <w:r w:rsidR="00324801" w:rsidRPr="00E97889">
        <w:rPr>
          <w:bCs/>
          <w:szCs w:val="20"/>
        </w:rPr>
        <w:t>.</w:t>
      </w:r>
      <w:r w:rsidR="00387DC9" w:rsidRPr="00E97889">
        <w:rPr>
          <w:bCs/>
          <w:szCs w:val="20"/>
        </w:rPr>
        <w:t>467</w:t>
      </w:r>
      <w:r w:rsidR="00226D97" w:rsidRPr="00E97889">
        <w:rPr>
          <w:bCs/>
          <w:szCs w:val="20"/>
        </w:rPr>
        <w:t>/</w:t>
      </w:r>
      <w:r w:rsidRPr="00E97889">
        <w:rPr>
          <w:bCs/>
          <w:szCs w:val="20"/>
        </w:rPr>
        <w:t>20</w:t>
      </w:r>
      <w:r w:rsidR="00387DC9" w:rsidRPr="00E97889">
        <w:rPr>
          <w:bCs/>
          <w:szCs w:val="20"/>
        </w:rPr>
        <w:t>22</w:t>
      </w:r>
      <w:r w:rsidR="00497B8F" w:rsidRPr="00E97889">
        <w:rPr>
          <w:bCs/>
          <w:szCs w:val="20"/>
        </w:rPr>
        <w:t xml:space="preserve"> </w:t>
      </w:r>
      <w:r w:rsidR="005D016A" w:rsidRPr="00E97889">
        <w:rPr>
          <w:bCs/>
          <w:szCs w:val="20"/>
        </w:rPr>
        <w:t>e</w:t>
      </w:r>
      <w:r w:rsidR="00497B8F" w:rsidRPr="00E97889">
        <w:rPr>
          <w:bCs/>
          <w:szCs w:val="20"/>
        </w:rPr>
        <w:t xml:space="preserve"> </w:t>
      </w:r>
      <w:r w:rsidR="005834DC" w:rsidRPr="00E97889">
        <w:rPr>
          <w:bCs/>
          <w:szCs w:val="20"/>
        </w:rPr>
        <w:t>demais normativas pertinentes aos Regimes Próprios de Previdência Social</w:t>
      </w:r>
      <w:r w:rsidRPr="00E97889">
        <w:rPr>
          <w:bCs/>
          <w:szCs w:val="20"/>
        </w:rPr>
        <w:t>.</w:t>
      </w:r>
    </w:p>
    <w:p w14:paraId="7ABD8F56" w14:textId="77777777" w:rsidR="001B44A4" w:rsidRDefault="006B0FB7" w:rsidP="0000430A">
      <w:pPr>
        <w:rPr>
          <w:bCs/>
          <w:szCs w:val="20"/>
        </w:rPr>
      </w:pPr>
      <w:r w:rsidRPr="00E97889">
        <w:rPr>
          <w:bCs/>
          <w:szCs w:val="20"/>
        </w:rPr>
        <w:t xml:space="preserve">É parte integrante desta Política de Investimentos, </w:t>
      </w:r>
      <w:r w:rsidR="00497B8F" w:rsidRPr="00E97889">
        <w:rPr>
          <w:bCs/>
          <w:szCs w:val="20"/>
        </w:rPr>
        <w:t xml:space="preserve">cópia da </w:t>
      </w:r>
      <w:r w:rsidR="00497B8F" w:rsidRPr="00E97889">
        <w:rPr>
          <w:b/>
          <w:bCs/>
          <w:szCs w:val="20"/>
        </w:rPr>
        <w:t>Ata do Comitê de Investimentos</w:t>
      </w:r>
      <w:r w:rsidR="00497B8F" w:rsidRPr="00E97889">
        <w:rPr>
          <w:bCs/>
          <w:szCs w:val="20"/>
        </w:rPr>
        <w:t xml:space="preserve"> que é participante do processo decisório quanto à sua formulação e </w:t>
      </w:r>
      <w:r w:rsidR="00DD4794" w:rsidRPr="00E97889">
        <w:rPr>
          <w:bCs/>
          <w:szCs w:val="20"/>
        </w:rPr>
        <w:t xml:space="preserve">execução, </w:t>
      </w:r>
      <w:r w:rsidRPr="00E97889">
        <w:rPr>
          <w:bCs/>
          <w:szCs w:val="20"/>
        </w:rPr>
        <w:t xml:space="preserve">cópia da </w:t>
      </w:r>
      <w:r w:rsidRPr="00E97889">
        <w:rPr>
          <w:b/>
          <w:bCs/>
          <w:szCs w:val="20"/>
        </w:rPr>
        <w:t>Ata do órgão superior</w:t>
      </w:r>
      <w:r w:rsidR="00DD4794" w:rsidRPr="00E97889">
        <w:rPr>
          <w:bCs/>
          <w:szCs w:val="20"/>
        </w:rPr>
        <w:t xml:space="preserve"> </w:t>
      </w:r>
      <w:r w:rsidR="00DD4794" w:rsidRPr="00E97889">
        <w:rPr>
          <w:b/>
          <w:szCs w:val="20"/>
        </w:rPr>
        <w:t xml:space="preserve">de deliberação </w:t>
      </w:r>
      <w:r w:rsidRPr="00E97889">
        <w:rPr>
          <w:bCs/>
          <w:szCs w:val="20"/>
        </w:rPr>
        <w:t>competente que aprova o presente instrumento, devidamente assinada por seus membros</w:t>
      </w:r>
      <w:r w:rsidR="001B44A4">
        <w:rPr>
          <w:bCs/>
          <w:szCs w:val="20"/>
        </w:rPr>
        <w:t>.</w:t>
      </w:r>
    </w:p>
    <w:p w14:paraId="113F9696" w14:textId="5530D818" w:rsidR="0000430A" w:rsidRDefault="00486C62" w:rsidP="0000430A">
      <w:pPr>
        <w:rPr>
          <w:bCs/>
          <w:szCs w:val="20"/>
        </w:rPr>
      </w:pPr>
      <w:r>
        <w:rPr>
          <w:bCs/>
          <w:szCs w:val="20"/>
        </w:rPr>
        <w:t>E</w:t>
      </w:r>
      <w:r w:rsidR="006B0FB7" w:rsidRPr="00516AB2">
        <w:rPr>
          <w:bCs/>
          <w:szCs w:val="20"/>
        </w:rPr>
        <w:t>ste documento deverá ser assinado:</w:t>
      </w:r>
    </w:p>
    <w:p w14:paraId="4064F9CF" w14:textId="77777777" w:rsidR="0000430A" w:rsidRDefault="00486C62" w:rsidP="0000430A">
      <w:pPr>
        <w:pStyle w:val="PargrafodaLista"/>
        <w:numPr>
          <w:ilvl w:val="0"/>
          <w:numId w:val="44"/>
        </w:numPr>
        <w:rPr>
          <w:bCs/>
          <w:szCs w:val="20"/>
        </w:rPr>
      </w:pPr>
      <w:proofErr w:type="gramStart"/>
      <w:r w:rsidRPr="0000430A">
        <w:rPr>
          <w:bCs/>
          <w:szCs w:val="20"/>
        </w:rPr>
        <w:t>p</w:t>
      </w:r>
      <w:r w:rsidR="006B0FB7" w:rsidRPr="0000430A">
        <w:rPr>
          <w:bCs/>
          <w:szCs w:val="20"/>
        </w:rPr>
        <w:t>elo</w:t>
      </w:r>
      <w:proofErr w:type="gramEnd"/>
      <w:r w:rsidR="006B0FB7" w:rsidRPr="0000430A">
        <w:rPr>
          <w:bCs/>
          <w:szCs w:val="20"/>
        </w:rPr>
        <w:t xml:space="preserve"> representante do ente federativo</w:t>
      </w:r>
      <w:r w:rsidR="00CC4CDE" w:rsidRPr="0000430A">
        <w:rPr>
          <w:bCs/>
          <w:szCs w:val="20"/>
        </w:rPr>
        <w:t>;</w:t>
      </w:r>
    </w:p>
    <w:p w14:paraId="2C34724D" w14:textId="77777777" w:rsidR="00456473" w:rsidRDefault="00456473" w:rsidP="00456473">
      <w:pPr>
        <w:pStyle w:val="PargrafodaLista"/>
        <w:rPr>
          <w:bCs/>
          <w:szCs w:val="20"/>
        </w:rPr>
      </w:pPr>
    </w:p>
    <w:p w14:paraId="28ADB95E" w14:textId="77777777" w:rsidR="00456473" w:rsidRDefault="00486C62" w:rsidP="0000430A">
      <w:pPr>
        <w:pStyle w:val="PargrafodaLista"/>
        <w:numPr>
          <w:ilvl w:val="0"/>
          <w:numId w:val="44"/>
        </w:numPr>
        <w:rPr>
          <w:bCs/>
          <w:szCs w:val="20"/>
        </w:rPr>
      </w:pPr>
      <w:proofErr w:type="gramStart"/>
      <w:r w:rsidRPr="0000430A">
        <w:rPr>
          <w:bCs/>
          <w:szCs w:val="20"/>
        </w:rPr>
        <w:lastRenderedPageBreak/>
        <w:t>p</w:t>
      </w:r>
      <w:r w:rsidR="006B0FB7" w:rsidRPr="0000430A">
        <w:rPr>
          <w:bCs/>
          <w:szCs w:val="20"/>
        </w:rPr>
        <w:t>elo</w:t>
      </w:r>
      <w:proofErr w:type="gramEnd"/>
      <w:r w:rsidR="006B0FB7" w:rsidRPr="0000430A">
        <w:rPr>
          <w:bCs/>
          <w:szCs w:val="20"/>
        </w:rPr>
        <w:t xml:space="preserve"> representante da unidade gestora do RPPS</w:t>
      </w:r>
      <w:r w:rsidR="00CC4CDE" w:rsidRPr="0000430A">
        <w:rPr>
          <w:bCs/>
          <w:szCs w:val="20"/>
        </w:rPr>
        <w:t xml:space="preserve"> e</w:t>
      </w:r>
    </w:p>
    <w:p w14:paraId="08B9084A" w14:textId="77777777" w:rsidR="00456473" w:rsidRDefault="00456473" w:rsidP="00456473">
      <w:pPr>
        <w:pStyle w:val="PargrafodaLista"/>
        <w:rPr>
          <w:bCs/>
          <w:szCs w:val="20"/>
        </w:rPr>
      </w:pPr>
    </w:p>
    <w:p w14:paraId="42B82D48" w14:textId="03025379" w:rsidR="00F17701" w:rsidRDefault="00486C62" w:rsidP="00E97889">
      <w:pPr>
        <w:pStyle w:val="PargrafodaLista"/>
        <w:numPr>
          <w:ilvl w:val="0"/>
          <w:numId w:val="44"/>
        </w:numPr>
        <w:rPr>
          <w:bCs/>
          <w:szCs w:val="20"/>
        </w:rPr>
      </w:pPr>
      <w:proofErr w:type="gramStart"/>
      <w:r w:rsidRPr="00671E7A">
        <w:rPr>
          <w:bCs/>
          <w:szCs w:val="20"/>
        </w:rPr>
        <w:t>p</w:t>
      </w:r>
      <w:r w:rsidR="006B0FB7" w:rsidRPr="00671E7A">
        <w:rPr>
          <w:bCs/>
          <w:szCs w:val="20"/>
        </w:rPr>
        <w:t>elos</w:t>
      </w:r>
      <w:proofErr w:type="gramEnd"/>
      <w:r w:rsidR="006B0FB7" w:rsidRPr="00671E7A">
        <w:rPr>
          <w:bCs/>
          <w:szCs w:val="20"/>
        </w:rPr>
        <w:t xml:space="preserve"> responsáveis pela </w:t>
      </w:r>
      <w:r w:rsidR="006B0FB7" w:rsidRPr="00671E7A">
        <w:rPr>
          <w:b/>
          <w:bCs/>
          <w:szCs w:val="20"/>
          <w:u w:val="single"/>
        </w:rPr>
        <w:t>elaboração, aprovação e execução</w:t>
      </w:r>
      <w:r w:rsidR="006B0FB7" w:rsidRPr="00671E7A">
        <w:rPr>
          <w:bCs/>
          <w:szCs w:val="20"/>
        </w:rPr>
        <w:t xml:space="preserve"> desta Política de Investimentos</w:t>
      </w:r>
      <w:r w:rsidRPr="00671E7A">
        <w:rPr>
          <w:bCs/>
          <w:szCs w:val="20"/>
        </w:rPr>
        <w:t xml:space="preserve"> em atendimento ao</w:t>
      </w:r>
      <w:r w:rsidR="00DA7E33" w:rsidRPr="00671E7A">
        <w:rPr>
          <w:bCs/>
          <w:szCs w:val="20"/>
        </w:rPr>
        <w:t xml:space="preserve"> art. 91</w:t>
      </w:r>
      <w:r w:rsidRPr="00671E7A">
        <w:rPr>
          <w:bCs/>
          <w:szCs w:val="20"/>
        </w:rPr>
        <w:t xml:space="preserve">° da Portaria n° </w:t>
      </w:r>
      <w:r w:rsidR="00220D81" w:rsidRPr="00671E7A">
        <w:rPr>
          <w:bCs/>
          <w:szCs w:val="20"/>
        </w:rPr>
        <w:t>1</w:t>
      </w:r>
      <w:r w:rsidR="00324801">
        <w:rPr>
          <w:bCs/>
          <w:szCs w:val="20"/>
        </w:rPr>
        <w:t>.</w:t>
      </w:r>
      <w:r w:rsidR="00220D81" w:rsidRPr="00671E7A">
        <w:rPr>
          <w:bCs/>
          <w:szCs w:val="20"/>
        </w:rPr>
        <w:t>46</w:t>
      </w:r>
      <w:r w:rsidR="00AC0CF1" w:rsidRPr="00671E7A">
        <w:rPr>
          <w:bCs/>
          <w:szCs w:val="20"/>
        </w:rPr>
        <w:t>7/2022</w:t>
      </w:r>
      <w:r w:rsidR="006B0FB7" w:rsidRPr="00671E7A">
        <w:rPr>
          <w:bCs/>
          <w:szCs w:val="20"/>
        </w:rPr>
        <w:t>.</w:t>
      </w:r>
    </w:p>
    <w:p w14:paraId="194750B5" w14:textId="77777777" w:rsidR="00646840" w:rsidRPr="00646840" w:rsidRDefault="00646840" w:rsidP="00646840">
      <w:pPr>
        <w:pStyle w:val="PargrafodaLista"/>
        <w:rPr>
          <w:bCs/>
          <w:szCs w:val="20"/>
        </w:rPr>
      </w:pPr>
    </w:p>
    <w:p w14:paraId="0B48FE76" w14:textId="7D4C3166" w:rsidR="00646840" w:rsidRDefault="00646840" w:rsidP="00646840">
      <w:pPr>
        <w:pStyle w:val="PargrafodaLista"/>
        <w:rPr>
          <w:bCs/>
          <w:szCs w:val="20"/>
        </w:rPr>
      </w:pPr>
    </w:p>
    <w:p w14:paraId="6F100E89" w14:textId="071F616D" w:rsidR="00646840" w:rsidRDefault="00646840" w:rsidP="00646840">
      <w:pPr>
        <w:pStyle w:val="PargrafodaLista"/>
        <w:rPr>
          <w:bCs/>
          <w:szCs w:val="20"/>
        </w:rPr>
      </w:pPr>
    </w:p>
    <w:p w14:paraId="59E940E7" w14:textId="7D820234" w:rsidR="00646840" w:rsidRDefault="00646840" w:rsidP="00646840">
      <w:pPr>
        <w:pStyle w:val="PargrafodaLista"/>
        <w:rPr>
          <w:bCs/>
          <w:szCs w:val="20"/>
        </w:rPr>
      </w:pPr>
    </w:p>
    <w:p w14:paraId="7F9B73A2" w14:textId="3FCF54D6" w:rsidR="00646840" w:rsidRPr="00646840" w:rsidRDefault="00646840" w:rsidP="00646840">
      <w:pPr>
        <w:rPr>
          <w:bCs/>
          <w:szCs w:val="20"/>
        </w:rPr>
      </w:pPr>
    </w:p>
    <w:p w14:paraId="7496EC9C" w14:textId="5BAB762A" w:rsidR="00646840" w:rsidRDefault="00646840" w:rsidP="00672DC3">
      <w:pPr>
        <w:pStyle w:val="PargrafodaLista"/>
        <w:jc w:val="left"/>
        <w:rPr>
          <w:bCs/>
          <w:szCs w:val="20"/>
        </w:rPr>
      </w:pPr>
      <w:r>
        <w:rPr>
          <w:bCs/>
          <w:szCs w:val="20"/>
        </w:rPr>
        <w:t>SIDNEI DEZOTI – Prefeito Municipal</w:t>
      </w:r>
    </w:p>
    <w:p w14:paraId="5BE12351" w14:textId="71DC1147" w:rsidR="00646840" w:rsidRDefault="00646840" w:rsidP="00672DC3">
      <w:pPr>
        <w:pStyle w:val="PargrafodaLista"/>
        <w:jc w:val="left"/>
        <w:rPr>
          <w:bCs/>
          <w:szCs w:val="20"/>
        </w:rPr>
      </w:pPr>
    </w:p>
    <w:p w14:paraId="228FC4EF" w14:textId="046F22D6" w:rsidR="00646840" w:rsidRDefault="00646840" w:rsidP="00672DC3">
      <w:pPr>
        <w:pStyle w:val="PargrafodaLista"/>
        <w:jc w:val="left"/>
        <w:rPr>
          <w:bCs/>
          <w:szCs w:val="20"/>
        </w:rPr>
      </w:pPr>
    </w:p>
    <w:p w14:paraId="369821B1" w14:textId="2954B9EB" w:rsidR="00646840" w:rsidRDefault="00646840" w:rsidP="00672DC3">
      <w:pPr>
        <w:pStyle w:val="PargrafodaLista"/>
        <w:jc w:val="left"/>
        <w:rPr>
          <w:bCs/>
          <w:szCs w:val="20"/>
        </w:rPr>
      </w:pPr>
    </w:p>
    <w:p w14:paraId="1162447A" w14:textId="165E05CE" w:rsidR="00646840" w:rsidRPr="00672DC3" w:rsidRDefault="00646840" w:rsidP="00672DC3">
      <w:pPr>
        <w:ind w:left="709"/>
        <w:jc w:val="left"/>
        <w:rPr>
          <w:bCs/>
          <w:szCs w:val="20"/>
        </w:rPr>
      </w:pPr>
      <w:r w:rsidRPr="00672DC3">
        <w:rPr>
          <w:bCs/>
          <w:szCs w:val="20"/>
        </w:rPr>
        <w:t>MAICON SOARES CARLOS – Presidente</w:t>
      </w:r>
    </w:p>
    <w:p w14:paraId="5630FECD" w14:textId="77777777" w:rsidR="00646840" w:rsidRDefault="00646840" w:rsidP="00672DC3">
      <w:pPr>
        <w:pStyle w:val="PargrafodaLista"/>
        <w:jc w:val="left"/>
        <w:rPr>
          <w:bCs/>
          <w:szCs w:val="20"/>
        </w:rPr>
      </w:pPr>
    </w:p>
    <w:p w14:paraId="69958A3F" w14:textId="3B102C6F" w:rsidR="00646840" w:rsidRDefault="00646840" w:rsidP="00672DC3">
      <w:pPr>
        <w:pStyle w:val="PargrafodaLista"/>
        <w:jc w:val="left"/>
        <w:rPr>
          <w:bCs/>
          <w:szCs w:val="20"/>
        </w:rPr>
      </w:pPr>
    </w:p>
    <w:p w14:paraId="768576BD" w14:textId="5574E8DE" w:rsidR="00646840" w:rsidRDefault="00646840" w:rsidP="00672DC3">
      <w:pPr>
        <w:pStyle w:val="PargrafodaLista"/>
        <w:jc w:val="left"/>
        <w:rPr>
          <w:bCs/>
          <w:szCs w:val="20"/>
        </w:rPr>
      </w:pPr>
    </w:p>
    <w:p w14:paraId="01167747" w14:textId="166E08C1" w:rsidR="00646840" w:rsidRDefault="00646840" w:rsidP="00672DC3">
      <w:pPr>
        <w:pStyle w:val="PargrafodaLista"/>
        <w:ind w:left="709"/>
        <w:jc w:val="left"/>
        <w:rPr>
          <w:bCs/>
          <w:szCs w:val="20"/>
        </w:rPr>
      </w:pPr>
      <w:r>
        <w:rPr>
          <w:bCs/>
          <w:szCs w:val="20"/>
        </w:rPr>
        <w:t>VILMA CALZAVARA DA SILVA – Gestor De Recursos</w:t>
      </w:r>
    </w:p>
    <w:p w14:paraId="4D0BA5E6" w14:textId="652BFC1A" w:rsidR="00646840" w:rsidRDefault="00646840" w:rsidP="00672DC3">
      <w:pPr>
        <w:pStyle w:val="PargrafodaLista"/>
        <w:jc w:val="left"/>
        <w:rPr>
          <w:bCs/>
          <w:szCs w:val="20"/>
        </w:rPr>
      </w:pPr>
    </w:p>
    <w:p w14:paraId="63734E48" w14:textId="4DB77E31" w:rsidR="00646840" w:rsidRDefault="00646840" w:rsidP="00672DC3">
      <w:pPr>
        <w:pStyle w:val="PargrafodaLista"/>
        <w:jc w:val="left"/>
        <w:rPr>
          <w:bCs/>
          <w:szCs w:val="20"/>
        </w:rPr>
      </w:pPr>
    </w:p>
    <w:p w14:paraId="1370F804" w14:textId="764E3F5A" w:rsidR="00646840" w:rsidRDefault="00646840" w:rsidP="00672DC3">
      <w:pPr>
        <w:pStyle w:val="PargrafodaLista"/>
        <w:jc w:val="left"/>
        <w:rPr>
          <w:bCs/>
          <w:szCs w:val="20"/>
        </w:rPr>
      </w:pPr>
    </w:p>
    <w:p w14:paraId="1D80A790" w14:textId="77777777" w:rsidR="00646840" w:rsidRDefault="00646840" w:rsidP="00672DC3">
      <w:pPr>
        <w:pStyle w:val="PargrafodaLista"/>
        <w:jc w:val="left"/>
        <w:rPr>
          <w:bCs/>
          <w:szCs w:val="20"/>
        </w:rPr>
      </w:pPr>
      <w:r>
        <w:rPr>
          <w:bCs/>
          <w:szCs w:val="20"/>
        </w:rPr>
        <w:t>ELIZANGELA MARA DOS SANTOS – Comitê De Investimentos</w:t>
      </w:r>
    </w:p>
    <w:p w14:paraId="73694B85" w14:textId="77777777" w:rsidR="00646840" w:rsidRDefault="00646840" w:rsidP="00672DC3">
      <w:pPr>
        <w:pStyle w:val="PargrafodaLista"/>
        <w:jc w:val="left"/>
        <w:rPr>
          <w:bCs/>
          <w:szCs w:val="20"/>
        </w:rPr>
      </w:pPr>
    </w:p>
    <w:p w14:paraId="395D4085" w14:textId="77777777" w:rsidR="00646840" w:rsidRDefault="00646840" w:rsidP="00672DC3">
      <w:pPr>
        <w:pStyle w:val="PargrafodaLista"/>
        <w:jc w:val="left"/>
        <w:rPr>
          <w:bCs/>
          <w:szCs w:val="20"/>
        </w:rPr>
      </w:pPr>
    </w:p>
    <w:p w14:paraId="1A0F677A" w14:textId="77777777" w:rsidR="00646840" w:rsidRDefault="00646840" w:rsidP="00672DC3">
      <w:pPr>
        <w:pStyle w:val="PargrafodaLista"/>
        <w:jc w:val="left"/>
        <w:rPr>
          <w:bCs/>
          <w:szCs w:val="20"/>
        </w:rPr>
      </w:pPr>
    </w:p>
    <w:p w14:paraId="20A8740A" w14:textId="5EE157E5" w:rsidR="00646840" w:rsidRDefault="00646840" w:rsidP="00672DC3">
      <w:pPr>
        <w:pStyle w:val="PargrafodaLista"/>
        <w:jc w:val="left"/>
        <w:rPr>
          <w:bCs/>
          <w:szCs w:val="20"/>
        </w:rPr>
      </w:pPr>
      <w:r>
        <w:rPr>
          <w:bCs/>
          <w:szCs w:val="20"/>
        </w:rPr>
        <w:t>MICHELLI DE SOUZA SOARES -  Comitê De Investimentos</w:t>
      </w:r>
    </w:p>
    <w:p w14:paraId="79786ABD" w14:textId="77777777" w:rsidR="00646840" w:rsidRDefault="00646840" w:rsidP="00672DC3">
      <w:pPr>
        <w:pStyle w:val="PargrafodaLista"/>
        <w:jc w:val="left"/>
        <w:rPr>
          <w:bCs/>
          <w:szCs w:val="20"/>
        </w:rPr>
      </w:pPr>
    </w:p>
    <w:p w14:paraId="32E161FF" w14:textId="5F6E2269" w:rsidR="00646840" w:rsidRDefault="00646840" w:rsidP="00672DC3">
      <w:pPr>
        <w:pStyle w:val="PargrafodaLista"/>
        <w:jc w:val="left"/>
        <w:rPr>
          <w:bCs/>
          <w:szCs w:val="20"/>
        </w:rPr>
      </w:pPr>
    </w:p>
    <w:p w14:paraId="303DE278" w14:textId="33102F5C" w:rsidR="00646840" w:rsidRDefault="00646840" w:rsidP="00672DC3">
      <w:pPr>
        <w:pStyle w:val="PargrafodaLista"/>
        <w:jc w:val="left"/>
        <w:rPr>
          <w:bCs/>
          <w:szCs w:val="20"/>
        </w:rPr>
      </w:pPr>
    </w:p>
    <w:p w14:paraId="0EF5B1FE" w14:textId="77777777" w:rsidR="00646840" w:rsidRPr="00F740A9" w:rsidRDefault="00646840" w:rsidP="00672DC3">
      <w:pPr>
        <w:pStyle w:val="PargrafodaLista"/>
        <w:jc w:val="left"/>
        <w:rPr>
          <w:bCs/>
          <w:szCs w:val="20"/>
        </w:rPr>
      </w:pPr>
    </w:p>
    <w:sectPr w:rsidR="00646840" w:rsidRPr="00F740A9" w:rsidSect="007D3511">
      <w:headerReference w:type="default" r:id="rId14"/>
      <w:footerReference w:type="default" r:id="rId15"/>
      <w:pgSz w:w="11906" w:h="16838"/>
      <w:pgMar w:top="2127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00876" w14:textId="77777777" w:rsidR="00C716C6" w:rsidRDefault="00C716C6" w:rsidP="00D87426">
      <w:pPr>
        <w:spacing w:after="0" w:line="240" w:lineRule="auto"/>
      </w:pPr>
      <w:r>
        <w:separator/>
      </w:r>
    </w:p>
  </w:endnote>
  <w:endnote w:type="continuationSeparator" w:id="0">
    <w:p w14:paraId="464B9B1B" w14:textId="77777777" w:rsidR="00C716C6" w:rsidRDefault="00C716C6" w:rsidP="00D87426">
      <w:pPr>
        <w:spacing w:after="0" w:line="240" w:lineRule="auto"/>
      </w:pPr>
      <w:r>
        <w:continuationSeparator/>
      </w:r>
    </w:p>
  </w:endnote>
  <w:endnote w:type="continuationNotice" w:id="1">
    <w:p w14:paraId="197D1CB4" w14:textId="77777777" w:rsidR="00C716C6" w:rsidRDefault="00C716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tona Light">
    <w:altName w:val="Cambria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tona Book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C6313" w14:textId="6B5B007B" w:rsidR="00F745DF" w:rsidRDefault="00F745DF">
    <w:pPr>
      <w:pStyle w:val="Rodap"/>
      <w:jc w:val="right"/>
    </w:pPr>
    <w:r>
      <w:t xml:space="preserve">p. </w:t>
    </w:r>
    <w:sdt>
      <w:sdtPr>
        <w:id w:val="-2819330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7245B">
          <w:rPr>
            <w:noProof/>
          </w:rPr>
          <w:t>7</w:t>
        </w:r>
        <w:r>
          <w:fldChar w:fldCharType="end"/>
        </w:r>
      </w:sdtContent>
    </w:sdt>
  </w:p>
  <w:p w14:paraId="40F1C5FD" w14:textId="77777777" w:rsidR="00F745DF" w:rsidRDefault="00F745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0F826" w14:textId="77777777" w:rsidR="00C716C6" w:rsidRDefault="00C716C6" w:rsidP="00D87426">
      <w:pPr>
        <w:spacing w:after="0" w:line="240" w:lineRule="auto"/>
      </w:pPr>
      <w:r>
        <w:separator/>
      </w:r>
    </w:p>
  </w:footnote>
  <w:footnote w:type="continuationSeparator" w:id="0">
    <w:p w14:paraId="045A1070" w14:textId="77777777" w:rsidR="00C716C6" w:rsidRDefault="00C716C6" w:rsidP="00D87426">
      <w:pPr>
        <w:spacing w:after="0" w:line="240" w:lineRule="auto"/>
      </w:pPr>
      <w:r>
        <w:continuationSeparator/>
      </w:r>
    </w:p>
  </w:footnote>
  <w:footnote w:type="continuationNotice" w:id="1">
    <w:p w14:paraId="2F7DE47F" w14:textId="77777777" w:rsidR="00C716C6" w:rsidRDefault="00C716C6">
      <w:pPr>
        <w:spacing w:after="0" w:line="240" w:lineRule="auto"/>
      </w:pPr>
    </w:p>
  </w:footnote>
  <w:footnote w:id="2">
    <w:p w14:paraId="1C738B96" w14:textId="0B0AD688" w:rsidR="00F745DF" w:rsidRPr="00276EFD" w:rsidRDefault="00F745DF">
      <w:pPr>
        <w:pStyle w:val="Textodenotaderodap"/>
        <w:rPr>
          <w:sz w:val="16"/>
          <w:szCs w:val="16"/>
        </w:rPr>
      </w:pPr>
      <w:r w:rsidRPr="00276EFD">
        <w:rPr>
          <w:rStyle w:val="Refdenotaderodap"/>
          <w:sz w:val="16"/>
          <w:szCs w:val="16"/>
        </w:rPr>
        <w:footnoteRef/>
      </w:r>
      <w:r w:rsidRPr="00276EFD">
        <w:rPr>
          <w:sz w:val="16"/>
          <w:szCs w:val="16"/>
        </w:rPr>
        <w:t xml:space="preserve"> Lei nº 9.717/1998, art. 1º - Os regimes próprios de previdência social dos servidores públicos da União, dos Estados, do Distrito Federal e dos Municípios, dos militares dos Estados e do Distrito Federal deverão ser organizados, baseados em normas gerais de contabilidade e atuária, de modo a garantir o seu equilíbrio financeiro e atuarial (...).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B3BD1" w14:textId="3444D832" w:rsidR="00F745DF" w:rsidRDefault="00F745D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CE9469E" wp14:editId="70CCE160">
          <wp:simplePos x="0" y="0"/>
          <wp:positionH relativeFrom="column">
            <wp:posOffset>-475615</wp:posOffset>
          </wp:positionH>
          <wp:positionV relativeFrom="paragraph">
            <wp:posOffset>-73343</wp:posOffset>
          </wp:positionV>
          <wp:extent cx="975995" cy="621665"/>
          <wp:effectExtent l="0" t="0" r="0" b="6985"/>
          <wp:wrapNone/>
          <wp:docPr id="2" name="Imagem 2" descr="Desenho de uma plac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de uma plac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99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42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7E18C2" wp14:editId="2679BF43">
              <wp:simplePos x="0" y="0"/>
              <wp:positionH relativeFrom="column">
                <wp:posOffset>-1084580</wp:posOffset>
              </wp:positionH>
              <wp:positionV relativeFrom="paragraph">
                <wp:posOffset>375285</wp:posOffset>
              </wp:positionV>
              <wp:extent cx="7415213" cy="280035"/>
              <wp:effectExtent l="0" t="0" r="0" b="5715"/>
              <wp:wrapNone/>
              <wp:docPr id="1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5213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A76895" w14:textId="15F7C8C7" w:rsidR="00F745DF" w:rsidRPr="00F93338" w:rsidRDefault="00F745DF" w:rsidP="00C7281C">
                          <w:pPr>
                            <w:jc w:val="right"/>
                            <w:rPr>
                              <w:rFonts w:ascii="Calibri" w:hAnsi="Calibri"/>
                              <w:b/>
                              <w:bCs/>
                              <w:color w:val="E84817"/>
                              <w:szCs w:val="36"/>
                            </w:rPr>
                          </w:pPr>
                          <w:r w:rsidRPr="00F93338">
                            <w:rPr>
                              <w:rFonts w:ascii="Calibri" w:hAnsi="Calibri"/>
                              <w:b/>
                              <w:bCs/>
                              <w:color w:val="E84817"/>
                              <w:szCs w:val="36"/>
                            </w:rPr>
                            <w:t>POLÍTICA DE INVESTIMENTOS 2023</w:t>
                          </w:r>
                        </w:p>
                        <w:p w14:paraId="3C30C886" w14:textId="77777777" w:rsidR="00F745DF" w:rsidRPr="00EB57E9" w:rsidRDefault="00F745DF" w:rsidP="00C7281C">
                          <w:pPr>
                            <w:jc w:val="right"/>
                            <w:rPr>
                              <w:rFonts w:ascii="Calibri" w:hAnsi="Calibri"/>
                              <w:b/>
                              <w:bCs/>
                              <w:color w:val="ED7D31" w:themeColor="accent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27E18C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85.4pt;margin-top:29.55pt;width:583.9pt;height:22.0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" filled="f" stroked="f">
              <v:textbox>
                <w:txbxContent>
                  <w:p w14:paraId="5FA76895" w14:textId="15F7C8C7" w:rsidR="006053F5" w:rsidRPr="00F93338" w:rsidRDefault="006053F5" w:rsidP="00C7281C">
                    <w:pPr>
                      <w:jc w:val="right"/>
                      <w:rPr>
                        <w:rFonts w:ascii="Calibri" w:hAnsi="Calibri"/>
                        <w:b/>
                        <w:bCs/>
                        <w:color w:val="E84817"/>
                        <w:szCs w:val="36"/>
                      </w:rPr>
                    </w:pPr>
                    <w:r w:rsidRPr="00F93338">
                      <w:rPr>
                        <w:rFonts w:ascii="Calibri" w:hAnsi="Calibri"/>
                        <w:b/>
                        <w:bCs/>
                        <w:color w:val="E84817"/>
                        <w:szCs w:val="36"/>
                      </w:rPr>
                      <w:t>POLÍTICA DE INVESTIMENTOS 2023</w:t>
                    </w:r>
                  </w:p>
                  <w:p w14:paraId="3C30C886" w14:textId="77777777" w:rsidR="006053F5" w:rsidRPr="00EB57E9" w:rsidRDefault="006053F5" w:rsidP="00C7281C">
                    <w:pPr>
                      <w:jc w:val="right"/>
                      <w:rPr>
                        <w:rFonts w:ascii="Calibri" w:hAnsi="Calibri"/>
                        <w:b/>
                        <w:bCs/>
                        <w:color w:val="ED7D31" w:themeColor="accent2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0D8C"/>
    <w:multiLevelType w:val="multilevel"/>
    <w:tmpl w:val="B9FEF598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2E04E6"/>
    <w:multiLevelType w:val="hybridMultilevel"/>
    <w:tmpl w:val="3A08CB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00115"/>
    <w:multiLevelType w:val="hybridMultilevel"/>
    <w:tmpl w:val="56B24E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26BE2"/>
    <w:multiLevelType w:val="hybridMultilevel"/>
    <w:tmpl w:val="FFF021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A36B8A"/>
    <w:multiLevelType w:val="multilevel"/>
    <w:tmpl w:val="DBB6910C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2540F24"/>
    <w:multiLevelType w:val="hybridMultilevel"/>
    <w:tmpl w:val="F3BAD3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723155"/>
    <w:multiLevelType w:val="hybridMultilevel"/>
    <w:tmpl w:val="070C9B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D8012D"/>
    <w:multiLevelType w:val="hybridMultilevel"/>
    <w:tmpl w:val="EEACD2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B63FB"/>
    <w:multiLevelType w:val="hybridMultilevel"/>
    <w:tmpl w:val="98E284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EB5652"/>
    <w:multiLevelType w:val="hybridMultilevel"/>
    <w:tmpl w:val="BAAC0A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C04246"/>
    <w:multiLevelType w:val="hybridMultilevel"/>
    <w:tmpl w:val="6E88E7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8C29E8"/>
    <w:multiLevelType w:val="hybridMultilevel"/>
    <w:tmpl w:val="23EC6D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94A48"/>
    <w:multiLevelType w:val="hybridMultilevel"/>
    <w:tmpl w:val="FA4493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B4C42"/>
    <w:multiLevelType w:val="hybridMultilevel"/>
    <w:tmpl w:val="71EE4B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14736"/>
    <w:multiLevelType w:val="hybridMultilevel"/>
    <w:tmpl w:val="2D8492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F29E0"/>
    <w:multiLevelType w:val="hybridMultilevel"/>
    <w:tmpl w:val="5E1EFD1C"/>
    <w:lvl w:ilvl="0" w:tplc="BAE0D1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97286"/>
    <w:multiLevelType w:val="hybridMultilevel"/>
    <w:tmpl w:val="87C644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E7B30"/>
    <w:multiLevelType w:val="hybridMultilevel"/>
    <w:tmpl w:val="DD26A8F4"/>
    <w:lvl w:ilvl="0" w:tplc="0F0459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90CF0"/>
    <w:multiLevelType w:val="hybridMultilevel"/>
    <w:tmpl w:val="1116DE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507D8"/>
    <w:multiLevelType w:val="hybridMultilevel"/>
    <w:tmpl w:val="F9CEE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C4074"/>
    <w:multiLevelType w:val="hybridMultilevel"/>
    <w:tmpl w:val="4F8061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CB654D"/>
    <w:multiLevelType w:val="hybridMultilevel"/>
    <w:tmpl w:val="E78EDC92"/>
    <w:lvl w:ilvl="0" w:tplc="0CC8AB02">
      <w:start w:val="1"/>
      <w:numFmt w:val="lowerLetter"/>
      <w:lvlText w:val="%1)"/>
      <w:lvlJc w:val="left"/>
      <w:pPr>
        <w:ind w:left="720" w:hanging="360"/>
      </w:pPr>
      <w:rPr>
        <w:rFonts w:ascii="Gentona Light" w:hAnsi="Gentona Ligh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233CA0"/>
    <w:multiLevelType w:val="multilevel"/>
    <w:tmpl w:val="D8E686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75D2722"/>
    <w:multiLevelType w:val="hybridMultilevel"/>
    <w:tmpl w:val="183AE5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47E9E"/>
    <w:multiLevelType w:val="hybridMultilevel"/>
    <w:tmpl w:val="B1F21792"/>
    <w:lvl w:ilvl="0" w:tplc="5052E41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44214B"/>
    <w:multiLevelType w:val="hybridMultilevel"/>
    <w:tmpl w:val="8CF623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1215B6"/>
    <w:multiLevelType w:val="hybridMultilevel"/>
    <w:tmpl w:val="4E3CB2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FB69E9"/>
    <w:multiLevelType w:val="hybridMultilevel"/>
    <w:tmpl w:val="CD76A0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D41D18"/>
    <w:multiLevelType w:val="hybridMultilevel"/>
    <w:tmpl w:val="B1D82E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0B44B3"/>
    <w:multiLevelType w:val="hybridMultilevel"/>
    <w:tmpl w:val="BE3A5C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9C0E27"/>
    <w:multiLevelType w:val="hybridMultilevel"/>
    <w:tmpl w:val="9C3A0132"/>
    <w:lvl w:ilvl="0" w:tplc="37D2CA42">
      <w:start w:val="1"/>
      <w:numFmt w:val="decimal"/>
      <w:lvlText w:val="%1)"/>
      <w:lvlJc w:val="left"/>
      <w:pPr>
        <w:ind w:left="720" w:hanging="360"/>
      </w:pPr>
      <w:rPr>
        <w:rFonts w:ascii="Gentona Light" w:eastAsiaTheme="minorHAnsi" w:hAnsi="Gentona Light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F0429F"/>
    <w:multiLevelType w:val="hybridMultilevel"/>
    <w:tmpl w:val="1B669F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436602"/>
    <w:multiLevelType w:val="hybridMultilevel"/>
    <w:tmpl w:val="028ACA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180D0C"/>
    <w:multiLevelType w:val="hybridMultilevel"/>
    <w:tmpl w:val="5A9433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1D381E"/>
    <w:multiLevelType w:val="hybridMultilevel"/>
    <w:tmpl w:val="0FCED0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6851C0"/>
    <w:multiLevelType w:val="hybridMultilevel"/>
    <w:tmpl w:val="11600A6E"/>
    <w:lvl w:ilvl="0" w:tplc="04160017">
      <w:start w:val="1"/>
      <w:numFmt w:val="lowerLetter"/>
      <w:lvlText w:val="%1)"/>
      <w:lvlJc w:val="left"/>
      <w:pPr>
        <w:ind w:left="764" w:hanging="360"/>
      </w:pPr>
    </w:lvl>
    <w:lvl w:ilvl="1" w:tplc="04160019" w:tentative="1">
      <w:start w:val="1"/>
      <w:numFmt w:val="lowerLetter"/>
      <w:lvlText w:val="%2."/>
      <w:lvlJc w:val="left"/>
      <w:pPr>
        <w:ind w:left="1484" w:hanging="360"/>
      </w:pPr>
    </w:lvl>
    <w:lvl w:ilvl="2" w:tplc="0416001B" w:tentative="1">
      <w:start w:val="1"/>
      <w:numFmt w:val="lowerRoman"/>
      <w:lvlText w:val="%3."/>
      <w:lvlJc w:val="right"/>
      <w:pPr>
        <w:ind w:left="2204" w:hanging="180"/>
      </w:pPr>
    </w:lvl>
    <w:lvl w:ilvl="3" w:tplc="0416000F" w:tentative="1">
      <w:start w:val="1"/>
      <w:numFmt w:val="decimal"/>
      <w:lvlText w:val="%4."/>
      <w:lvlJc w:val="left"/>
      <w:pPr>
        <w:ind w:left="2924" w:hanging="360"/>
      </w:pPr>
    </w:lvl>
    <w:lvl w:ilvl="4" w:tplc="04160019" w:tentative="1">
      <w:start w:val="1"/>
      <w:numFmt w:val="lowerLetter"/>
      <w:lvlText w:val="%5."/>
      <w:lvlJc w:val="left"/>
      <w:pPr>
        <w:ind w:left="3644" w:hanging="360"/>
      </w:pPr>
    </w:lvl>
    <w:lvl w:ilvl="5" w:tplc="0416001B" w:tentative="1">
      <w:start w:val="1"/>
      <w:numFmt w:val="lowerRoman"/>
      <w:lvlText w:val="%6."/>
      <w:lvlJc w:val="right"/>
      <w:pPr>
        <w:ind w:left="4364" w:hanging="180"/>
      </w:pPr>
    </w:lvl>
    <w:lvl w:ilvl="6" w:tplc="0416000F" w:tentative="1">
      <w:start w:val="1"/>
      <w:numFmt w:val="decimal"/>
      <w:lvlText w:val="%7."/>
      <w:lvlJc w:val="left"/>
      <w:pPr>
        <w:ind w:left="5084" w:hanging="360"/>
      </w:pPr>
    </w:lvl>
    <w:lvl w:ilvl="7" w:tplc="04160019" w:tentative="1">
      <w:start w:val="1"/>
      <w:numFmt w:val="lowerLetter"/>
      <w:lvlText w:val="%8."/>
      <w:lvlJc w:val="left"/>
      <w:pPr>
        <w:ind w:left="5804" w:hanging="360"/>
      </w:pPr>
    </w:lvl>
    <w:lvl w:ilvl="8" w:tplc="0416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6" w15:restartNumberingAfterBreak="0">
    <w:nsid w:val="4E2D48AE"/>
    <w:multiLevelType w:val="hybridMultilevel"/>
    <w:tmpl w:val="1EB2F140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50B97CCC"/>
    <w:multiLevelType w:val="hybridMultilevel"/>
    <w:tmpl w:val="CFDA65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252D97"/>
    <w:multiLevelType w:val="hybridMultilevel"/>
    <w:tmpl w:val="8A1E09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2F79B1"/>
    <w:multiLevelType w:val="hybridMultilevel"/>
    <w:tmpl w:val="8196FC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8735DE"/>
    <w:multiLevelType w:val="hybridMultilevel"/>
    <w:tmpl w:val="8EB07C4C"/>
    <w:lvl w:ilvl="0" w:tplc="0D1A2230">
      <w:start w:val="1"/>
      <w:numFmt w:val="decimal"/>
      <w:lvlText w:val="%1)"/>
      <w:lvlJc w:val="left"/>
      <w:pPr>
        <w:ind w:left="720" w:hanging="360"/>
      </w:pPr>
      <w:rPr>
        <w:rFonts w:ascii="Gentona Light" w:eastAsiaTheme="minorHAnsi" w:hAnsi="Gentona Light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946877"/>
    <w:multiLevelType w:val="hybridMultilevel"/>
    <w:tmpl w:val="64520D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B07BD"/>
    <w:multiLevelType w:val="hybridMultilevel"/>
    <w:tmpl w:val="39E2FE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F71B65"/>
    <w:multiLevelType w:val="hybridMultilevel"/>
    <w:tmpl w:val="6310D4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C4232A"/>
    <w:multiLevelType w:val="hybridMultilevel"/>
    <w:tmpl w:val="53728E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280A12"/>
    <w:multiLevelType w:val="hybridMultilevel"/>
    <w:tmpl w:val="522021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D21BE1"/>
    <w:multiLevelType w:val="hybridMultilevel"/>
    <w:tmpl w:val="817E65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4853FB"/>
    <w:multiLevelType w:val="hybridMultilevel"/>
    <w:tmpl w:val="DFCADE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A431B3"/>
    <w:multiLevelType w:val="hybridMultilevel"/>
    <w:tmpl w:val="993402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F516A0"/>
    <w:multiLevelType w:val="hybridMultilevel"/>
    <w:tmpl w:val="463611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D4513E"/>
    <w:multiLevelType w:val="hybridMultilevel"/>
    <w:tmpl w:val="22BE2A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0379FB"/>
    <w:multiLevelType w:val="hybridMultilevel"/>
    <w:tmpl w:val="A9B2C0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844C2E"/>
    <w:multiLevelType w:val="hybridMultilevel"/>
    <w:tmpl w:val="FBFCA7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54116F"/>
    <w:multiLevelType w:val="hybridMultilevel"/>
    <w:tmpl w:val="EF9CD23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69BB6AB1"/>
    <w:multiLevelType w:val="multilevel"/>
    <w:tmpl w:val="917E3B88"/>
    <w:lvl w:ilvl="0">
      <w:start w:val="1"/>
      <w:numFmt w:val="decimal"/>
      <w:pStyle w:val="Ttulo1"/>
      <w:lvlText w:val="%1"/>
      <w:lvlJc w:val="left"/>
      <w:pPr>
        <w:ind w:left="2275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5965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5" w15:restartNumberingAfterBreak="0">
    <w:nsid w:val="6CBA7331"/>
    <w:multiLevelType w:val="hybridMultilevel"/>
    <w:tmpl w:val="FE6075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56518F"/>
    <w:multiLevelType w:val="hybridMultilevel"/>
    <w:tmpl w:val="024A3A74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FB25950"/>
    <w:multiLevelType w:val="hybridMultilevel"/>
    <w:tmpl w:val="41106F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E263F1"/>
    <w:multiLevelType w:val="hybridMultilevel"/>
    <w:tmpl w:val="991A05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3B74C8"/>
    <w:multiLevelType w:val="hybridMultilevel"/>
    <w:tmpl w:val="EA58BD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816A0C"/>
    <w:multiLevelType w:val="hybridMultilevel"/>
    <w:tmpl w:val="7D500574"/>
    <w:lvl w:ilvl="0" w:tplc="9F3640AC">
      <w:start w:val="1"/>
      <w:numFmt w:val="lowerLetter"/>
      <w:lvlText w:val="%1)"/>
      <w:lvlJc w:val="left"/>
      <w:pPr>
        <w:ind w:left="720" w:hanging="360"/>
      </w:pPr>
      <w:rPr>
        <w:rFonts w:ascii="Gentona Light" w:eastAsiaTheme="minorHAnsi" w:hAnsi="Gentona Light" w:cstheme="minorBidi" w:hint="default"/>
        <w:color w:val="0D0E0E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BA07B1"/>
    <w:multiLevelType w:val="hybridMultilevel"/>
    <w:tmpl w:val="621EAE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E01172"/>
    <w:multiLevelType w:val="hybridMultilevel"/>
    <w:tmpl w:val="16E6F716"/>
    <w:lvl w:ilvl="0" w:tplc="9410C8DC">
      <w:start w:val="1"/>
      <w:numFmt w:val="lowerLetter"/>
      <w:lvlText w:val="%1)"/>
      <w:lvlJc w:val="left"/>
      <w:pPr>
        <w:ind w:left="720" w:hanging="360"/>
      </w:pPr>
      <w:rPr>
        <w:rFonts w:ascii="Gentona Light" w:hAnsi="Gentona Ligh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546B9D"/>
    <w:multiLevelType w:val="hybridMultilevel"/>
    <w:tmpl w:val="75E8C3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C539CE"/>
    <w:multiLevelType w:val="hybridMultilevel"/>
    <w:tmpl w:val="8E7A42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3E2283"/>
    <w:multiLevelType w:val="hybridMultilevel"/>
    <w:tmpl w:val="56B270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CCC021C"/>
    <w:multiLevelType w:val="hybridMultilevel"/>
    <w:tmpl w:val="246EF86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2C1EEC"/>
    <w:multiLevelType w:val="hybridMultilevel"/>
    <w:tmpl w:val="EAA6988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E654E05"/>
    <w:multiLevelType w:val="hybridMultilevel"/>
    <w:tmpl w:val="94BEA1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E7226B7"/>
    <w:multiLevelType w:val="hybridMultilevel"/>
    <w:tmpl w:val="C38667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53"/>
  </w:num>
  <w:num w:numId="3">
    <w:abstractNumId w:val="36"/>
  </w:num>
  <w:num w:numId="4">
    <w:abstractNumId w:val="1"/>
  </w:num>
  <w:num w:numId="5">
    <w:abstractNumId w:val="37"/>
  </w:num>
  <w:num w:numId="6">
    <w:abstractNumId w:val="42"/>
  </w:num>
  <w:num w:numId="7">
    <w:abstractNumId w:val="15"/>
  </w:num>
  <w:num w:numId="8">
    <w:abstractNumId w:val="35"/>
  </w:num>
  <w:num w:numId="9">
    <w:abstractNumId w:val="46"/>
  </w:num>
  <w:num w:numId="10">
    <w:abstractNumId w:val="3"/>
  </w:num>
  <w:num w:numId="11">
    <w:abstractNumId w:val="13"/>
  </w:num>
  <w:num w:numId="12">
    <w:abstractNumId w:val="51"/>
  </w:num>
  <w:num w:numId="13">
    <w:abstractNumId w:val="7"/>
  </w:num>
  <w:num w:numId="14">
    <w:abstractNumId w:val="14"/>
  </w:num>
  <w:num w:numId="15">
    <w:abstractNumId w:val="41"/>
  </w:num>
  <w:num w:numId="16">
    <w:abstractNumId w:val="22"/>
  </w:num>
  <w:num w:numId="17">
    <w:abstractNumId w:val="0"/>
  </w:num>
  <w:num w:numId="18">
    <w:abstractNumId w:val="4"/>
  </w:num>
  <w:num w:numId="19">
    <w:abstractNumId w:val="54"/>
  </w:num>
  <w:num w:numId="20">
    <w:abstractNumId w:val="34"/>
  </w:num>
  <w:num w:numId="21">
    <w:abstractNumId w:val="24"/>
  </w:num>
  <w:num w:numId="22">
    <w:abstractNumId w:val="39"/>
  </w:num>
  <w:num w:numId="23">
    <w:abstractNumId w:val="28"/>
  </w:num>
  <w:num w:numId="24">
    <w:abstractNumId w:val="23"/>
  </w:num>
  <w:num w:numId="25">
    <w:abstractNumId w:val="61"/>
  </w:num>
  <w:num w:numId="26">
    <w:abstractNumId w:val="26"/>
  </w:num>
  <w:num w:numId="27">
    <w:abstractNumId w:val="65"/>
  </w:num>
  <w:num w:numId="28">
    <w:abstractNumId w:val="10"/>
  </w:num>
  <w:num w:numId="29">
    <w:abstractNumId w:val="55"/>
  </w:num>
  <w:num w:numId="30">
    <w:abstractNumId w:val="44"/>
  </w:num>
  <w:num w:numId="31">
    <w:abstractNumId w:val="38"/>
  </w:num>
  <w:num w:numId="32">
    <w:abstractNumId w:val="2"/>
  </w:num>
  <w:num w:numId="33">
    <w:abstractNumId w:val="16"/>
  </w:num>
  <w:num w:numId="34">
    <w:abstractNumId w:val="49"/>
  </w:num>
  <w:num w:numId="35">
    <w:abstractNumId w:val="63"/>
  </w:num>
  <w:num w:numId="36">
    <w:abstractNumId w:val="67"/>
  </w:num>
  <w:num w:numId="37">
    <w:abstractNumId w:val="68"/>
  </w:num>
  <w:num w:numId="38">
    <w:abstractNumId w:val="5"/>
  </w:num>
  <w:num w:numId="39">
    <w:abstractNumId w:val="33"/>
  </w:num>
  <w:num w:numId="40">
    <w:abstractNumId w:val="43"/>
  </w:num>
  <w:num w:numId="41">
    <w:abstractNumId w:val="59"/>
  </w:num>
  <w:num w:numId="42">
    <w:abstractNumId w:val="31"/>
  </w:num>
  <w:num w:numId="43">
    <w:abstractNumId w:val="64"/>
  </w:num>
  <w:num w:numId="44">
    <w:abstractNumId w:val="66"/>
  </w:num>
  <w:num w:numId="45">
    <w:abstractNumId w:val="20"/>
  </w:num>
  <w:num w:numId="46">
    <w:abstractNumId w:val="69"/>
  </w:num>
  <w:num w:numId="47">
    <w:abstractNumId w:val="60"/>
  </w:num>
  <w:num w:numId="48">
    <w:abstractNumId w:val="18"/>
  </w:num>
  <w:num w:numId="49">
    <w:abstractNumId w:val="48"/>
  </w:num>
  <w:num w:numId="50">
    <w:abstractNumId w:val="58"/>
  </w:num>
  <w:num w:numId="51">
    <w:abstractNumId w:val="8"/>
  </w:num>
  <w:num w:numId="52">
    <w:abstractNumId w:val="57"/>
  </w:num>
  <w:num w:numId="53">
    <w:abstractNumId w:val="40"/>
  </w:num>
  <w:num w:numId="54">
    <w:abstractNumId w:val="52"/>
  </w:num>
  <w:num w:numId="55">
    <w:abstractNumId w:val="25"/>
  </w:num>
  <w:num w:numId="56">
    <w:abstractNumId w:val="30"/>
  </w:num>
  <w:num w:numId="57">
    <w:abstractNumId w:val="17"/>
  </w:num>
  <w:num w:numId="58">
    <w:abstractNumId w:val="6"/>
  </w:num>
  <w:num w:numId="59">
    <w:abstractNumId w:val="9"/>
  </w:num>
  <w:num w:numId="60">
    <w:abstractNumId w:val="32"/>
  </w:num>
  <w:num w:numId="61">
    <w:abstractNumId w:val="29"/>
  </w:num>
  <w:num w:numId="62">
    <w:abstractNumId w:val="47"/>
  </w:num>
  <w:num w:numId="63">
    <w:abstractNumId w:val="50"/>
  </w:num>
  <w:num w:numId="64">
    <w:abstractNumId w:val="27"/>
  </w:num>
  <w:num w:numId="65">
    <w:abstractNumId w:val="21"/>
  </w:num>
  <w:num w:numId="66">
    <w:abstractNumId w:val="62"/>
  </w:num>
  <w:num w:numId="67">
    <w:abstractNumId w:val="45"/>
  </w:num>
  <w:num w:numId="68">
    <w:abstractNumId w:val="11"/>
  </w:num>
  <w:num w:numId="69">
    <w:abstractNumId w:val="19"/>
  </w:num>
  <w:num w:numId="70">
    <w:abstractNumId w:val="54"/>
  </w:num>
  <w:num w:numId="71">
    <w:abstractNumId w:val="54"/>
  </w:num>
  <w:num w:numId="72">
    <w:abstractNumId w:val="54"/>
  </w:num>
  <w:num w:numId="73">
    <w:abstractNumId w:val="1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26"/>
    <w:rsid w:val="00001752"/>
    <w:rsid w:val="00002414"/>
    <w:rsid w:val="0000430A"/>
    <w:rsid w:val="000051A8"/>
    <w:rsid w:val="00006300"/>
    <w:rsid w:val="000069E9"/>
    <w:rsid w:val="00007C58"/>
    <w:rsid w:val="000114D4"/>
    <w:rsid w:val="000130F2"/>
    <w:rsid w:val="00013199"/>
    <w:rsid w:val="000165AB"/>
    <w:rsid w:val="00017240"/>
    <w:rsid w:val="00022C56"/>
    <w:rsid w:val="00032326"/>
    <w:rsid w:val="00035A9E"/>
    <w:rsid w:val="00036F1A"/>
    <w:rsid w:val="00041032"/>
    <w:rsid w:val="00042680"/>
    <w:rsid w:val="0004667F"/>
    <w:rsid w:val="00046A88"/>
    <w:rsid w:val="000502A2"/>
    <w:rsid w:val="00051D96"/>
    <w:rsid w:val="0005223A"/>
    <w:rsid w:val="00054F47"/>
    <w:rsid w:val="0005538B"/>
    <w:rsid w:val="0005584C"/>
    <w:rsid w:val="000562A0"/>
    <w:rsid w:val="00062581"/>
    <w:rsid w:val="00062EFA"/>
    <w:rsid w:val="00064A98"/>
    <w:rsid w:val="00067097"/>
    <w:rsid w:val="00067207"/>
    <w:rsid w:val="00072BC9"/>
    <w:rsid w:val="000730D9"/>
    <w:rsid w:val="000740D8"/>
    <w:rsid w:val="00075094"/>
    <w:rsid w:val="0007695E"/>
    <w:rsid w:val="00076D5C"/>
    <w:rsid w:val="0008449D"/>
    <w:rsid w:val="00084BB6"/>
    <w:rsid w:val="000875DA"/>
    <w:rsid w:val="00093428"/>
    <w:rsid w:val="00094793"/>
    <w:rsid w:val="00094E8F"/>
    <w:rsid w:val="000951A6"/>
    <w:rsid w:val="0009599D"/>
    <w:rsid w:val="000A1FAB"/>
    <w:rsid w:val="000A2062"/>
    <w:rsid w:val="000A2B92"/>
    <w:rsid w:val="000A43D8"/>
    <w:rsid w:val="000A4C68"/>
    <w:rsid w:val="000A54AE"/>
    <w:rsid w:val="000A5C64"/>
    <w:rsid w:val="000A7BAC"/>
    <w:rsid w:val="000B22EC"/>
    <w:rsid w:val="000B2538"/>
    <w:rsid w:val="000B4827"/>
    <w:rsid w:val="000B5B79"/>
    <w:rsid w:val="000B6B29"/>
    <w:rsid w:val="000C1F2E"/>
    <w:rsid w:val="000C2EE9"/>
    <w:rsid w:val="000C603A"/>
    <w:rsid w:val="000C616C"/>
    <w:rsid w:val="000C757C"/>
    <w:rsid w:val="000C7E83"/>
    <w:rsid w:val="000D0A4A"/>
    <w:rsid w:val="000D22FE"/>
    <w:rsid w:val="000D347A"/>
    <w:rsid w:val="000D3FB8"/>
    <w:rsid w:val="000D5D97"/>
    <w:rsid w:val="000D7345"/>
    <w:rsid w:val="000E1CEA"/>
    <w:rsid w:val="000E26FC"/>
    <w:rsid w:val="000E2869"/>
    <w:rsid w:val="000E3476"/>
    <w:rsid w:val="000E41CC"/>
    <w:rsid w:val="000E5EAD"/>
    <w:rsid w:val="000F34EF"/>
    <w:rsid w:val="000F4B93"/>
    <w:rsid w:val="000F4BC7"/>
    <w:rsid w:val="000F5173"/>
    <w:rsid w:val="000F7DE0"/>
    <w:rsid w:val="0010175C"/>
    <w:rsid w:val="00102729"/>
    <w:rsid w:val="00102A45"/>
    <w:rsid w:val="00103342"/>
    <w:rsid w:val="001053F0"/>
    <w:rsid w:val="0010721D"/>
    <w:rsid w:val="00110750"/>
    <w:rsid w:val="0011084C"/>
    <w:rsid w:val="00110ADB"/>
    <w:rsid w:val="00111965"/>
    <w:rsid w:val="00111D7F"/>
    <w:rsid w:val="001131CC"/>
    <w:rsid w:val="001169C3"/>
    <w:rsid w:val="00116A4A"/>
    <w:rsid w:val="00117A3B"/>
    <w:rsid w:val="00120E1C"/>
    <w:rsid w:val="00120ED5"/>
    <w:rsid w:val="0012355F"/>
    <w:rsid w:val="00123714"/>
    <w:rsid w:val="00123C3C"/>
    <w:rsid w:val="0012476E"/>
    <w:rsid w:val="00125CB5"/>
    <w:rsid w:val="0013025D"/>
    <w:rsid w:val="00130B80"/>
    <w:rsid w:val="00130C4B"/>
    <w:rsid w:val="00130C72"/>
    <w:rsid w:val="00130C8F"/>
    <w:rsid w:val="00130CF9"/>
    <w:rsid w:val="00132C38"/>
    <w:rsid w:val="00134066"/>
    <w:rsid w:val="00134F10"/>
    <w:rsid w:val="0013703C"/>
    <w:rsid w:val="001375F4"/>
    <w:rsid w:val="00137B49"/>
    <w:rsid w:val="00142C66"/>
    <w:rsid w:val="00142CA0"/>
    <w:rsid w:val="00142D4C"/>
    <w:rsid w:val="0014443E"/>
    <w:rsid w:val="001449B6"/>
    <w:rsid w:val="00144BF1"/>
    <w:rsid w:val="0014582B"/>
    <w:rsid w:val="00146721"/>
    <w:rsid w:val="00146E20"/>
    <w:rsid w:val="00147292"/>
    <w:rsid w:val="00150EDE"/>
    <w:rsid w:val="00151408"/>
    <w:rsid w:val="00151B5C"/>
    <w:rsid w:val="00151EFB"/>
    <w:rsid w:val="001541C0"/>
    <w:rsid w:val="001555E3"/>
    <w:rsid w:val="001571B0"/>
    <w:rsid w:val="0016091F"/>
    <w:rsid w:val="00161E86"/>
    <w:rsid w:val="00163DF1"/>
    <w:rsid w:val="00164773"/>
    <w:rsid w:val="00164C96"/>
    <w:rsid w:val="00165CF9"/>
    <w:rsid w:val="00166AD3"/>
    <w:rsid w:val="001703D0"/>
    <w:rsid w:val="00172AE2"/>
    <w:rsid w:val="00172B04"/>
    <w:rsid w:val="001800AB"/>
    <w:rsid w:val="00181E22"/>
    <w:rsid w:val="001851B5"/>
    <w:rsid w:val="0018613B"/>
    <w:rsid w:val="0018680A"/>
    <w:rsid w:val="00190244"/>
    <w:rsid w:val="00191914"/>
    <w:rsid w:val="00192908"/>
    <w:rsid w:val="0019438D"/>
    <w:rsid w:val="0019501E"/>
    <w:rsid w:val="00195299"/>
    <w:rsid w:val="0019533F"/>
    <w:rsid w:val="001967A1"/>
    <w:rsid w:val="00197355"/>
    <w:rsid w:val="00197C43"/>
    <w:rsid w:val="001A112E"/>
    <w:rsid w:val="001A1DD5"/>
    <w:rsid w:val="001A29C0"/>
    <w:rsid w:val="001A2BE4"/>
    <w:rsid w:val="001A34F9"/>
    <w:rsid w:val="001A445A"/>
    <w:rsid w:val="001A464C"/>
    <w:rsid w:val="001A54FA"/>
    <w:rsid w:val="001A579B"/>
    <w:rsid w:val="001A6EB3"/>
    <w:rsid w:val="001B0DDD"/>
    <w:rsid w:val="001B44A4"/>
    <w:rsid w:val="001C12E3"/>
    <w:rsid w:val="001C244B"/>
    <w:rsid w:val="001C2ABF"/>
    <w:rsid w:val="001C4846"/>
    <w:rsid w:val="001C49C4"/>
    <w:rsid w:val="001C552D"/>
    <w:rsid w:val="001C6638"/>
    <w:rsid w:val="001C6985"/>
    <w:rsid w:val="001D3E21"/>
    <w:rsid w:val="001D4A84"/>
    <w:rsid w:val="001D4B47"/>
    <w:rsid w:val="001D64F8"/>
    <w:rsid w:val="001D66B9"/>
    <w:rsid w:val="001E1DB6"/>
    <w:rsid w:val="001E498E"/>
    <w:rsid w:val="001E52A8"/>
    <w:rsid w:val="001E68C4"/>
    <w:rsid w:val="001E7F4B"/>
    <w:rsid w:val="001F46FF"/>
    <w:rsid w:val="001F5F19"/>
    <w:rsid w:val="001F62BB"/>
    <w:rsid w:val="00200082"/>
    <w:rsid w:val="002013AA"/>
    <w:rsid w:val="0020177F"/>
    <w:rsid w:val="00201799"/>
    <w:rsid w:val="00201956"/>
    <w:rsid w:val="002030B6"/>
    <w:rsid w:val="002031E1"/>
    <w:rsid w:val="0020440E"/>
    <w:rsid w:val="00206F8B"/>
    <w:rsid w:val="002074D1"/>
    <w:rsid w:val="00211C8C"/>
    <w:rsid w:val="0021396B"/>
    <w:rsid w:val="00213B0E"/>
    <w:rsid w:val="00214DF1"/>
    <w:rsid w:val="00215BF7"/>
    <w:rsid w:val="0021686F"/>
    <w:rsid w:val="00220D81"/>
    <w:rsid w:val="00221219"/>
    <w:rsid w:val="00221890"/>
    <w:rsid w:val="00222395"/>
    <w:rsid w:val="00226D97"/>
    <w:rsid w:val="00227C9E"/>
    <w:rsid w:val="00227CDB"/>
    <w:rsid w:val="00230737"/>
    <w:rsid w:val="002330DA"/>
    <w:rsid w:val="00233DF8"/>
    <w:rsid w:val="00236C1E"/>
    <w:rsid w:val="0023768F"/>
    <w:rsid w:val="00240597"/>
    <w:rsid w:val="002406EC"/>
    <w:rsid w:val="00242905"/>
    <w:rsid w:val="00242F60"/>
    <w:rsid w:val="002437EA"/>
    <w:rsid w:val="00244E1F"/>
    <w:rsid w:val="00245088"/>
    <w:rsid w:val="00245763"/>
    <w:rsid w:val="0024648B"/>
    <w:rsid w:val="0024734E"/>
    <w:rsid w:val="00247F55"/>
    <w:rsid w:val="00251077"/>
    <w:rsid w:val="00253CFA"/>
    <w:rsid w:val="00254152"/>
    <w:rsid w:val="00254E9E"/>
    <w:rsid w:val="00255F83"/>
    <w:rsid w:val="0025605B"/>
    <w:rsid w:val="002577BB"/>
    <w:rsid w:val="0026139D"/>
    <w:rsid w:val="00261872"/>
    <w:rsid w:val="0026433E"/>
    <w:rsid w:val="00264EA1"/>
    <w:rsid w:val="00265547"/>
    <w:rsid w:val="00266148"/>
    <w:rsid w:val="00266BC3"/>
    <w:rsid w:val="00267529"/>
    <w:rsid w:val="00267D40"/>
    <w:rsid w:val="00270C08"/>
    <w:rsid w:val="00272055"/>
    <w:rsid w:val="0027235A"/>
    <w:rsid w:val="00272363"/>
    <w:rsid w:val="00276EFD"/>
    <w:rsid w:val="0028014E"/>
    <w:rsid w:val="00282A92"/>
    <w:rsid w:val="00284805"/>
    <w:rsid w:val="00287991"/>
    <w:rsid w:val="002879D5"/>
    <w:rsid w:val="00290D1C"/>
    <w:rsid w:val="00291336"/>
    <w:rsid w:val="002917B3"/>
    <w:rsid w:val="00291C16"/>
    <w:rsid w:val="00293086"/>
    <w:rsid w:val="00293458"/>
    <w:rsid w:val="002940E5"/>
    <w:rsid w:val="0029598B"/>
    <w:rsid w:val="00295E60"/>
    <w:rsid w:val="00295EB7"/>
    <w:rsid w:val="0029719B"/>
    <w:rsid w:val="00297F90"/>
    <w:rsid w:val="002A154C"/>
    <w:rsid w:val="002A45F5"/>
    <w:rsid w:val="002A4F88"/>
    <w:rsid w:val="002A4F9C"/>
    <w:rsid w:val="002A5530"/>
    <w:rsid w:val="002A5966"/>
    <w:rsid w:val="002A5EF9"/>
    <w:rsid w:val="002A7247"/>
    <w:rsid w:val="002A7276"/>
    <w:rsid w:val="002A72ED"/>
    <w:rsid w:val="002B0194"/>
    <w:rsid w:val="002B0D96"/>
    <w:rsid w:val="002B12B6"/>
    <w:rsid w:val="002C0B8B"/>
    <w:rsid w:val="002C295F"/>
    <w:rsid w:val="002C2E29"/>
    <w:rsid w:val="002C635C"/>
    <w:rsid w:val="002C6BCD"/>
    <w:rsid w:val="002C6FC8"/>
    <w:rsid w:val="002D044B"/>
    <w:rsid w:val="002D34CB"/>
    <w:rsid w:val="002D44D6"/>
    <w:rsid w:val="002D628D"/>
    <w:rsid w:val="002D68D5"/>
    <w:rsid w:val="002D7771"/>
    <w:rsid w:val="002E20B2"/>
    <w:rsid w:val="002E2A7E"/>
    <w:rsid w:val="002E3B5C"/>
    <w:rsid w:val="002E415B"/>
    <w:rsid w:val="002E594A"/>
    <w:rsid w:val="002E6856"/>
    <w:rsid w:val="002F0B39"/>
    <w:rsid w:val="002F127A"/>
    <w:rsid w:val="002F1B8D"/>
    <w:rsid w:val="002F25CA"/>
    <w:rsid w:val="002F3C76"/>
    <w:rsid w:val="002F426A"/>
    <w:rsid w:val="002F635C"/>
    <w:rsid w:val="00300F92"/>
    <w:rsid w:val="00301DFC"/>
    <w:rsid w:val="00302891"/>
    <w:rsid w:val="003032FD"/>
    <w:rsid w:val="00303BE0"/>
    <w:rsid w:val="00304F8C"/>
    <w:rsid w:val="00305A24"/>
    <w:rsid w:val="00305EA0"/>
    <w:rsid w:val="003078FB"/>
    <w:rsid w:val="00310039"/>
    <w:rsid w:val="0031020E"/>
    <w:rsid w:val="003118C2"/>
    <w:rsid w:val="00313BA2"/>
    <w:rsid w:val="00314BC0"/>
    <w:rsid w:val="003216D5"/>
    <w:rsid w:val="00322A96"/>
    <w:rsid w:val="00324801"/>
    <w:rsid w:val="00324DE4"/>
    <w:rsid w:val="00325CF2"/>
    <w:rsid w:val="003267E0"/>
    <w:rsid w:val="0032689E"/>
    <w:rsid w:val="0033198B"/>
    <w:rsid w:val="00332EC8"/>
    <w:rsid w:val="00334FF8"/>
    <w:rsid w:val="003419EE"/>
    <w:rsid w:val="00342CF5"/>
    <w:rsid w:val="00342CFA"/>
    <w:rsid w:val="003455C6"/>
    <w:rsid w:val="0034701E"/>
    <w:rsid w:val="00347B81"/>
    <w:rsid w:val="003500DD"/>
    <w:rsid w:val="0035077B"/>
    <w:rsid w:val="00351C9B"/>
    <w:rsid w:val="00351E63"/>
    <w:rsid w:val="003529A3"/>
    <w:rsid w:val="00354A17"/>
    <w:rsid w:val="0036142E"/>
    <w:rsid w:val="003618CE"/>
    <w:rsid w:val="00362EC1"/>
    <w:rsid w:val="003648F2"/>
    <w:rsid w:val="003649CA"/>
    <w:rsid w:val="00365438"/>
    <w:rsid w:val="003662B3"/>
    <w:rsid w:val="00366D95"/>
    <w:rsid w:val="0036786B"/>
    <w:rsid w:val="003678C4"/>
    <w:rsid w:val="00371465"/>
    <w:rsid w:val="00371486"/>
    <w:rsid w:val="003731FB"/>
    <w:rsid w:val="0037394D"/>
    <w:rsid w:val="00375B10"/>
    <w:rsid w:val="00376168"/>
    <w:rsid w:val="00377FB0"/>
    <w:rsid w:val="003802B6"/>
    <w:rsid w:val="003815CD"/>
    <w:rsid w:val="003817F5"/>
    <w:rsid w:val="00384592"/>
    <w:rsid w:val="00385785"/>
    <w:rsid w:val="00385945"/>
    <w:rsid w:val="00385CB9"/>
    <w:rsid w:val="00387DC9"/>
    <w:rsid w:val="003903DA"/>
    <w:rsid w:val="00391692"/>
    <w:rsid w:val="00392141"/>
    <w:rsid w:val="00392BDC"/>
    <w:rsid w:val="00395C66"/>
    <w:rsid w:val="00395E77"/>
    <w:rsid w:val="003963B3"/>
    <w:rsid w:val="0039643E"/>
    <w:rsid w:val="00397EA1"/>
    <w:rsid w:val="003A0B06"/>
    <w:rsid w:val="003A19E5"/>
    <w:rsid w:val="003A30DC"/>
    <w:rsid w:val="003A3849"/>
    <w:rsid w:val="003A3E38"/>
    <w:rsid w:val="003A43B5"/>
    <w:rsid w:val="003A540D"/>
    <w:rsid w:val="003A559D"/>
    <w:rsid w:val="003B05F2"/>
    <w:rsid w:val="003B13E4"/>
    <w:rsid w:val="003B1954"/>
    <w:rsid w:val="003B2F75"/>
    <w:rsid w:val="003B317A"/>
    <w:rsid w:val="003B362B"/>
    <w:rsid w:val="003B4A68"/>
    <w:rsid w:val="003B4B0D"/>
    <w:rsid w:val="003B4FF9"/>
    <w:rsid w:val="003B54AF"/>
    <w:rsid w:val="003B631E"/>
    <w:rsid w:val="003B70B6"/>
    <w:rsid w:val="003B7128"/>
    <w:rsid w:val="003B7131"/>
    <w:rsid w:val="003B7580"/>
    <w:rsid w:val="003C0A56"/>
    <w:rsid w:val="003C1058"/>
    <w:rsid w:val="003C2B13"/>
    <w:rsid w:val="003C358A"/>
    <w:rsid w:val="003C3A73"/>
    <w:rsid w:val="003C3C9A"/>
    <w:rsid w:val="003C3D11"/>
    <w:rsid w:val="003C3F82"/>
    <w:rsid w:val="003C5D74"/>
    <w:rsid w:val="003C6E94"/>
    <w:rsid w:val="003C6F5C"/>
    <w:rsid w:val="003C7203"/>
    <w:rsid w:val="003D189F"/>
    <w:rsid w:val="003D2BF6"/>
    <w:rsid w:val="003D3F78"/>
    <w:rsid w:val="003D4523"/>
    <w:rsid w:val="003D4647"/>
    <w:rsid w:val="003D7D91"/>
    <w:rsid w:val="003D7DC2"/>
    <w:rsid w:val="003E1169"/>
    <w:rsid w:val="003E58FD"/>
    <w:rsid w:val="003E5979"/>
    <w:rsid w:val="003E5DA8"/>
    <w:rsid w:val="003E6350"/>
    <w:rsid w:val="003E72FF"/>
    <w:rsid w:val="003F14F1"/>
    <w:rsid w:val="003F24F1"/>
    <w:rsid w:val="003F2A45"/>
    <w:rsid w:val="003F40EB"/>
    <w:rsid w:val="003F6107"/>
    <w:rsid w:val="003F6350"/>
    <w:rsid w:val="003F7755"/>
    <w:rsid w:val="003F78BC"/>
    <w:rsid w:val="003F7EC0"/>
    <w:rsid w:val="004004B8"/>
    <w:rsid w:val="00402C5C"/>
    <w:rsid w:val="00403786"/>
    <w:rsid w:val="0040464A"/>
    <w:rsid w:val="00404663"/>
    <w:rsid w:val="00407BEC"/>
    <w:rsid w:val="00410796"/>
    <w:rsid w:val="00410D87"/>
    <w:rsid w:val="004112AF"/>
    <w:rsid w:val="00412C4A"/>
    <w:rsid w:val="00413FAE"/>
    <w:rsid w:val="00414E5C"/>
    <w:rsid w:val="0041546A"/>
    <w:rsid w:val="004159B4"/>
    <w:rsid w:val="00417094"/>
    <w:rsid w:val="0042217A"/>
    <w:rsid w:val="004247DA"/>
    <w:rsid w:val="00424A9C"/>
    <w:rsid w:val="00425421"/>
    <w:rsid w:val="00425BEF"/>
    <w:rsid w:val="00426CCE"/>
    <w:rsid w:val="004273EF"/>
    <w:rsid w:val="00431100"/>
    <w:rsid w:val="0043292F"/>
    <w:rsid w:val="00432D94"/>
    <w:rsid w:val="004346E3"/>
    <w:rsid w:val="00435A6C"/>
    <w:rsid w:val="00436782"/>
    <w:rsid w:val="004409A1"/>
    <w:rsid w:val="004438C9"/>
    <w:rsid w:val="00444AFB"/>
    <w:rsid w:val="004450C7"/>
    <w:rsid w:val="004455A5"/>
    <w:rsid w:val="00445B14"/>
    <w:rsid w:val="00446E27"/>
    <w:rsid w:val="00450BFE"/>
    <w:rsid w:val="004514CE"/>
    <w:rsid w:val="004521E1"/>
    <w:rsid w:val="0045510E"/>
    <w:rsid w:val="00456234"/>
    <w:rsid w:val="00456473"/>
    <w:rsid w:val="00461E95"/>
    <w:rsid w:val="004621FA"/>
    <w:rsid w:val="00462DEB"/>
    <w:rsid w:val="0046388B"/>
    <w:rsid w:val="00464747"/>
    <w:rsid w:val="004658A6"/>
    <w:rsid w:val="004664B8"/>
    <w:rsid w:val="004703CB"/>
    <w:rsid w:val="00474F6F"/>
    <w:rsid w:val="004756D9"/>
    <w:rsid w:val="0047675F"/>
    <w:rsid w:val="00476A06"/>
    <w:rsid w:val="00477610"/>
    <w:rsid w:val="00480A35"/>
    <w:rsid w:val="00480F27"/>
    <w:rsid w:val="00483F20"/>
    <w:rsid w:val="00486C62"/>
    <w:rsid w:val="004876B1"/>
    <w:rsid w:val="00490D10"/>
    <w:rsid w:val="0049314C"/>
    <w:rsid w:val="004931F3"/>
    <w:rsid w:val="004969EC"/>
    <w:rsid w:val="00496D88"/>
    <w:rsid w:val="00497B8F"/>
    <w:rsid w:val="004A07B9"/>
    <w:rsid w:val="004A0ABB"/>
    <w:rsid w:val="004A0B7A"/>
    <w:rsid w:val="004A1427"/>
    <w:rsid w:val="004A28F3"/>
    <w:rsid w:val="004A2AF2"/>
    <w:rsid w:val="004A2E49"/>
    <w:rsid w:val="004A7DCA"/>
    <w:rsid w:val="004A7FC2"/>
    <w:rsid w:val="004A7FE3"/>
    <w:rsid w:val="004B040B"/>
    <w:rsid w:val="004B1CA4"/>
    <w:rsid w:val="004B2C2B"/>
    <w:rsid w:val="004B3B42"/>
    <w:rsid w:val="004B49BD"/>
    <w:rsid w:val="004B550A"/>
    <w:rsid w:val="004B58EC"/>
    <w:rsid w:val="004B5BDA"/>
    <w:rsid w:val="004C081F"/>
    <w:rsid w:val="004C203F"/>
    <w:rsid w:val="004C20AC"/>
    <w:rsid w:val="004C2EC8"/>
    <w:rsid w:val="004C3ABD"/>
    <w:rsid w:val="004C5BF2"/>
    <w:rsid w:val="004D13AD"/>
    <w:rsid w:val="004D1769"/>
    <w:rsid w:val="004D30CD"/>
    <w:rsid w:val="004D32A5"/>
    <w:rsid w:val="004D378B"/>
    <w:rsid w:val="004D7769"/>
    <w:rsid w:val="004E0B01"/>
    <w:rsid w:val="004E1136"/>
    <w:rsid w:val="004E31B0"/>
    <w:rsid w:val="004E3522"/>
    <w:rsid w:val="004E39CA"/>
    <w:rsid w:val="004E3F11"/>
    <w:rsid w:val="004E61A8"/>
    <w:rsid w:val="004F0425"/>
    <w:rsid w:val="004F058C"/>
    <w:rsid w:val="004F0E55"/>
    <w:rsid w:val="004F300F"/>
    <w:rsid w:val="004F3E5F"/>
    <w:rsid w:val="004F41AF"/>
    <w:rsid w:val="004F4596"/>
    <w:rsid w:val="004F5612"/>
    <w:rsid w:val="004F6A72"/>
    <w:rsid w:val="004F72B1"/>
    <w:rsid w:val="004F731F"/>
    <w:rsid w:val="004F7B09"/>
    <w:rsid w:val="004F7E9F"/>
    <w:rsid w:val="005005B1"/>
    <w:rsid w:val="005018EA"/>
    <w:rsid w:val="00503251"/>
    <w:rsid w:val="00505B87"/>
    <w:rsid w:val="00506CA7"/>
    <w:rsid w:val="0050706A"/>
    <w:rsid w:val="00507D7A"/>
    <w:rsid w:val="00511B94"/>
    <w:rsid w:val="00513FAD"/>
    <w:rsid w:val="005142C2"/>
    <w:rsid w:val="00514DA7"/>
    <w:rsid w:val="0051517C"/>
    <w:rsid w:val="00515872"/>
    <w:rsid w:val="00515D67"/>
    <w:rsid w:val="00516AB2"/>
    <w:rsid w:val="0052045D"/>
    <w:rsid w:val="005222CD"/>
    <w:rsid w:val="00524372"/>
    <w:rsid w:val="00524973"/>
    <w:rsid w:val="00524D7B"/>
    <w:rsid w:val="00526FFD"/>
    <w:rsid w:val="00527DA1"/>
    <w:rsid w:val="0053304F"/>
    <w:rsid w:val="0053365D"/>
    <w:rsid w:val="00535109"/>
    <w:rsid w:val="00537252"/>
    <w:rsid w:val="005376F1"/>
    <w:rsid w:val="00537C0C"/>
    <w:rsid w:val="00540ECF"/>
    <w:rsid w:val="00540FC0"/>
    <w:rsid w:val="005411A2"/>
    <w:rsid w:val="005411D4"/>
    <w:rsid w:val="00541E90"/>
    <w:rsid w:val="005425AC"/>
    <w:rsid w:val="0054351B"/>
    <w:rsid w:val="005444FB"/>
    <w:rsid w:val="005454D6"/>
    <w:rsid w:val="00546116"/>
    <w:rsid w:val="005473B7"/>
    <w:rsid w:val="00550129"/>
    <w:rsid w:val="00551224"/>
    <w:rsid w:val="00552A42"/>
    <w:rsid w:val="00555173"/>
    <w:rsid w:val="0055584C"/>
    <w:rsid w:val="00555EA4"/>
    <w:rsid w:val="0055718C"/>
    <w:rsid w:val="0055796E"/>
    <w:rsid w:val="005601E5"/>
    <w:rsid w:val="00563725"/>
    <w:rsid w:val="00570830"/>
    <w:rsid w:val="00570A54"/>
    <w:rsid w:val="00574B2B"/>
    <w:rsid w:val="005753DA"/>
    <w:rsid w:val="00576270"/>
    <w:rsid w:val="00577000"/>
    <w:rsid w:val="005778E3"/>
    <w:rsid w:val="005829F3"/>
    <w:rsid w:val="005831F2"/>
    <w:rsid w:val="005834DC"/>
    <w:rsid w:val="00585565"/>
    <w:rsid w:val="0058722D"/>
    <w:rsid w:val="005875C7"/>
    <w:rsid w:val="00587C03"/>
    <w:rsid w:val="00592FB4"/>
    <w:rsid w:val="005953A0"/>
    <w:rsid w:val="00596F73"/>
    <w:rsid w:val="00597CD8"/>
    <w:rsid w:val="005A176A"/>
    <w:rsid w:val="005A1B2C"/>
    <w:rsid w:val="005A75AF"/>
    <w:rsid w:val="005B02F9"/>
    <w:rsid w:val="005B0627"/>
    <w:rsid w:val="005B074D"/>
    <w:rsid w:val="005B28B6"/>
    <w:rsid w:val="005B2FC8"/>
    <w:rsid w:val="005B337D"/>
    <w:rsid w:val="005B3F7F"/>
    <w:rsid w:val="005B4379"/>
    <w:rsid w:val="005B4AA8"/>
    <w:rsid w:val="005B539F"/>
    <w:rsid w:val="005B55E6"/>
    <w:rsid w:val="005B5C59"/>
    <w:rsid w:val="005B5E5B"/>
    <w:rsid w:val="005B67E6"/>
    <w:rsid w:val="005B72A7"/>
    <w:rsid w:val="005C23C1"/>
    <w:rsid w:val="005C4C53"/>
    <w:rsid w:val="005C6EF1"/>
    <w:rsid w:val="005C7899"/>
    <w:rsid w:val="005D016A"/>
    <w:rsid w:val="005D03A0"/>
    <w:rsid w:val="005D163A"/>
    <w:rsid w:val="005D1E74"/>
    <w:rsid w:val="005D20A2"/>
    <w:rsid w:val="005D2495"/>
    <w:rsid w:val="005D249A"/>
    <w:rsid w:val="005D6F41"/>
    <w:rsid w:val="005D763E"/>
    <w:rsid w:val="005E022F"/>
    <w:rsid w:val="005E1138"/>
    <w:rsid w:val="005E5062"/>
    <w:rsid w:val="005E529B"/>
    <w:rsid w:val="005E6270"/>
    <w:rsid w:val="005E7795"/>
    <w:rsid w:val="005E7912"/>
    <w:rsid w:val="005F0A08"/>
    <w:rsid w:val="005F0B47"/>
    <w:rsid w:val="005F0C56"/>
    <w:rsid w:val="005F1851"/>
    <w:rsid w:val="005F1B71"/>
    <w:rsid w:val="005F2D9B"/>
    <w:rsid w:val="005F369F"/>
    <w:rsid w:val="005F7E5E"/>
    <w:rsid w:val="006028FF"/>
    <w:rsid w:val="00603BA7"/>
    <w:rsid w:val="00604813"/>
    <w:rsid w:val="00604FCB"/>
    <w:rsid w:val="006053F5"/>
    <w:rsid w:val="0061058C"/>
    <w:rsid w:val="00610EEB"/>
    <w:rsid w:val="00612224"/>
    <w:rsid w:val="00614437"/>
    <w:rsid w:val="00616936"/>
    <w:rsid w:val="00617855"/>
    <w:rsid w:val="00621A57"/>
    <w:rsid w:val="00622815"/>
    <w:rsid w:val="00623676"/>
    <w:rsid w:val="00623FBB"/>
    <w:rsid w:val="00626BA8"/>
    <w:rsid w:val="00627121"/>
    <w:rsid w:val="006308E7"/>
    <w:rsid w:val="00631E18"/>
    <w:rsid w:val="006327DA"/>
    <w:rsid w:val="00633B5A"/>
    <w:rsid w:val="0063498D"/>
    <w:rsid w:val="0064064B"/>
    <w:rsid w:val="00641428"/>
    <w:rsid w:val="006423A9"/>
    <w:rsid w:val="00643E89"/>
    <w:rsid w:val="0064457A"/>
    <w:rsid w:val="00644A63"/>
    <w:rsid w:val="0064646F"/>
    <w:rsid w:val="00646840"/>
    <w:rsid w:val="00646C22"/>
    <w:rsid w:val="00653CD4"/>
    <w:rsid w:val="00655368"/>
    <w:rsid w:val="006560C7"/>
    <w:rsid w:val="00662190"/>
    <w:rsid w:val="0066494F"/>
    <w:rsid w:val="00667AD0"/>
    <w:rsid w:val="00670BEF"/>
    <w:rsid w:val="00671132"/>
    <w:rsid w:val="00671E7A"/>
    <w:rsid w:val="0067245B"/>
    <w:rsid w:val="00672DC3"/>
    <w:rsid w:val="006739BC"/>
    <w:rsid w:val="00674771"/>
    <w:rsid w:val="006765F4"/>
    <w:rsid w:val="00681E32"/>
    <w:rsid w:val="00681EA7"/>
    <w:rsid w:val="0068399B"/>
    <w:rsid w:val="006841CD"/>
    <w:rsid w:val="006872C4"/>
    <w:rsid w:val="00687BFD"/>
    <w:rsid w:val="00691139"/>
    <w:rsid w:val="00691EA3"/>
    <w:rsid w:val="00693AC8"/>
    <w:rsid w:val="00695F71"/>
    <w:rsid w:val="00696FC7"/>
    <w:rsid w:val="006A19C8"/>
    <w:rsid w:val="006A328F"/>
    <w:rsid w:val="006A390C"/>
    <w:rsid w:val="006A4241"/>
    <w:rsid w:val="006A4859"/>
    <w:rsid w:val="006A4CCF"/>
    <w:rsid w:val="006A5934"/>
    <w:rsid w:val="006A67C5"/>
    <w:rsid w:val="006A6E0B"/>
    <w:rsid w:val="006A7821"/>
    <w:rsid w:val="006B0E7C"/>
    <w:rsid w:val="006B0FB7"/>
    <w:rsid w:val="006B2E30"/>
    <w:rsid w:val="006B40C9"/>
    <w:rsid w:val="006B48D0"/>
    <w:rsid w:val="006B5AA9"/>
    <w:rsid w:val="006B6001"/>
    <w:rsid w:val="006B7567"/>
    <w:rsid w:val="006B7D77"/>
    <w:rsid w:val="006C058C"/>
    <w:rsid w:val="006C1664"/>
    <w:rsid w:val="006C2AD0"/>
    <w:rsid w:val="006C2E56"/>
    <w:rsid w:val="006C3CB7"/>
    <w:rsid w:val="006C4966"/>
    <w:rsid w:val="006C6D4A"/>
    <w:rsid w:val="006D305D"/>
    <w:rsid w:val="006D46A1"/>
    <w:rsid w:val="006D5481"/>
    <w:rsid w:val="006E0996"/>
    <w:rsid w:val="006E0F0F"/>
    <w:rsid w:val="006E1F51"/>
    <w:rsid w:val="006E287E"/>
    <w:rsid w:val="006E36E4"/>
    <w:rsid w:val="006E5598"/>
    <w:rsid w:val="006F1FD2"/>
    <w:rsid w:val="006F4D3F"/>
    <w:rsid w:val="006F5B8A"/>
    <w:rsid w:val="006F5F66"/>
    <w:rsid w:val="006F67AD"/>
    <w:rsid w:val="006F68F8"/>
    <w:rsid w:val="00700B65"/>
    <w:rsid w:val="00702E1B"/>
    <w:rsid w:val="00703985"/>
    <w:rsid w:val="00705685"/>
    <w:rsid w:val="00707BB0"/>
    <w:rsid w:val="0071019C"/>
    <w:rsid w:val="007109B2"/>
    <w:rsid w:val="00710B4C"/>
    <w:rsid w:val="007113AC"/>
    <w:rsid w:val="0071269F"/>
    <w:rsid w:val="007126EC"/>
    <w:rsid w:val="00712962"/>
    <w:rsid w:val="00713171"/>
    <w:rsid w:val="007138A9"/>
    <w:rsid w:val="00716D43"/>
    <w:rsid w:val="00720DA5"/>
    <w:rsid w:val="00721099"/>
    <w:rsid w:val="00721C93"/>
    <w:rsid w:val="007254E0"/>
    <w:rsid w:val="007261C8"/>
    <w:rsid w:val="00727BD2"/>
    <w:rsid w:val="00727C32"/>
    <w:rsid w:val="00734A25"/>
    <w:rsid w:val="00734CD1"/>
    <w:rsid w:val="007355B5"/>
    <w:rsid w:val="007371FD"/>
    <w:rsid w:val="00740058"/>
    <w:rsid w:val="00740DD1"/>
    <w:rsid w:val="00742968"/>
    <w:rsid w:val="00742D4D"/>
    <w:rsid w:val="0074345D"/>
    <w:rsid w:val="00745900"/>
    <w:rsid w:val="00750683"/>
    <w:rsid w:val="00751727"/>
    <w:rsid w:val="00754373"/>
    <w:rsid w:val="00755CBD"/>
    <w:rsid w:val="007567D6"/>
    <w:rsid w:val="00764233"/>
    <w:rsid w:val="007646F1"/>
    <w:rsid w:val="00766290"/>
    <w:rsid w:val="007667F7"/>
    <w:rsid w:val="00766B72"/>
    <w:rsid w:val="0076765F"/>
    <w:rsid w:val="007729C7"/>
    <w:rsid w:val="00772F60"/>
    <w:rsid w:val="007740D7"/>
    <w:rsid w:val="00774B2A"/>
    <w:rsid w:val="0077503A"/>
    <w:rsid w:val="00775805"/>
    <w:rsid w:val="0078180D"/>
    <w:rsid w:val="00783FCD"/>
    <w:rsid w:val="007848F7"/>
    <w:rsid w:val="00787787"/>
    <w:rsid w:val="00787CDF"/>
    <w:rsid w:val="00791F1C"/>
    <w:rsid w:val="007926E4"/>
    <w:rsid w:val="00792BE5"/>
    <w:rsid w:val="00793E4D"/>
    <w:rsid w:val="0079463A"/>
    <w:rsid w:val="00796DDC"/>
    <w:rsid w:val="00797C78"/>
    <w:rsid w:val="007A06D1"/>
    <w:rsid w:val="007A0D0B"/>
    <w:rsid w:val="007A0D10"/>
    <w:rsid w:val="007A1214"/>
    <w:rsid w:val="007A1C3A"/>
    <w:rsid w:val="007A5748"/>
    <w:rsid w:val="007A6621"/>
    <w:rsid w:val="007A7B6E"/>
    <w:rsid w:val="007A7DFE"/>
    <w:rsid w:val="007B0AD6"/>
    <w:rsid w:val="007B1153"/>
    <w:rsid w:val="007B15C4"/>
    <w:rsid w:val="007B172D"/>
    <w:rsid w:val="007B268C"/>
    <w:rsid w:val="007B2F02"/>
    <w:rsid w:val="007B37C7"/>
    <w:rsid w:val="007B3F43"/>
    <w:rsid w:val="007B4785"/>
    <w:rsid w:val="007B554C"/>
    <w:rsid w:val="007B66D8"/>
    <w:rsid w:val="007C010A"/>
    <w:rsid w:val="007C03F4"/>
    <w:rsid w:val="007C100D"/>
    <w:rsid w:val="007C148B"/>
    <w:rsid w:val="007C1CC5"/>
    <w:rsid w:val="007C1E59"/>
    <w:rsid w:val="007C2C43"/>
    <w:rsid w:val="007C3E88"/>
    <w:rsid w:val="007C53E4"/>
    <w:rsid w:val="007C6218"/>
    <w:rsid w:val="007D1E26"/>
    <w:rsid w:val="007D3511"/>
    <w:rsid w:val="007D41EE"/>
    <w:rsid w:val="007D5500"/>
    <w:rsid w:val="007D7FE1"/>
    <w:rsid w:val="007E1A1B"/>
    <w:rsid w:val="007E21B8"/>
    <w:rsid w:val="007E2EA3"/>
    <w:rsid w:val="007E39ED"/>
    <w:rsid w:val="007E64A2"/>
    <w:rsid w:val="007E6B64"/>
    <w:rsid w:val="007F09AE"/>
    <w:rsid w:val="007F0F24"/>
    <w:rsid w:val="007F52EB"/>
    <w:rsid w:val="007F54C9"/>
    <w:rsid w:val="007F7495"/>
    <w:rsid w:val="007F7C6F"/>
    <w:rsid w:val="008004B8"/>
    <w:rsid w:val="00800820"/>
    <w:rsid w:val="00801663"/>
    <w:rsid w:val="00801A55"/>
    <w:rsid w:val="00802D06"/>
    <w:rsid w:val="00802F35"/>
    <w:rsid w:val="00803F15"/>
    <w:rsid w:val="00804A61"/>
    <w:rsid w:val="00805DB1"/>
    <w:rsid w:val="00807A85"/>
    <w:rsid w:val="0081108C"/>
    <w:rsid w:val="0081195D"/>
    <w:rsid w:val="00811CB0"/>
    <w:rsid w:val="008121B4"/>
    <w:rsid w:val="0081614F"/>
    <w:rsid w:val="00816A69"/>
    <w:rsid w:val="0081724C"/>
    <w:rsid w:val="008173D1"/>
    <w:rsid w:val="008228D1"/>
    <w:rsid w:val="00823E2E"/>
    <w:rsid w:val="008249FA"/>
    <w:rsid w:val="0082527B"/>
    <w:rsid w:val="00826B05"/>
    <w:rsid w:val="00827C59"/>
    <w:rsid w:val="00830D46"/>
    <w:rsid w:val="00830DBF"/>
    <w:rsid w:val="00833D55"/>
    <w:rsid w:val="008364F0"/>
    <w:rsid w:val="0083676D"/>
    <w:rsid w:val="0083784A"/>
    <w:rsid w:val="00841540"/>
    <w:rsid w:val="00843F6A"/>
    <w:rsid w:val="00844376"/>
    <w:rsid w:val="0084455F"/>
    <w:rsid w:val="008469D6"/>
    <w:rsid w:val="00846E79"/>
    <w:rsid w:val="00846EB9"/>
    <w:rsid w:val="00847F19"/>
    <w:rsid w:val="00850805"/>
    <w:rsid w:val="0085098F"/>
    <w:rsid w:val="00851C1C"/>
    <w:rsid w:val="00853003"/>
    <w:rsid w:val="008530C6"/>
    <w:rsid w:val="008536EC"/>
    <w:rsid w:val="00857C95"/>
    <w:rsid w:val="00864AC5"/>
    <w:rsid w:val="00864ADF"/>
    <w:rsid w:val="008655B6"/>
    <w:rsid w:val="008663F8"/>
    <w:rsid w:val="00866D01"/>
    <w:rsid w:val="00866D16"/>
    <w:rsid w:val="008672F9"/>
    <w:rsid w:val="00867774"/>
    <w:rsid w:val="00870D40"/>
    <w:rsid w:val="00872CD2"/>
    <w:rsid w:val="008736C1"/>
    <w:rsid w:val="008777E1"/>
    <w:rsid w:val="00880139"/>
    <w:rsid w:val="008815C6"/>
    <w:rsid w:val="00883A95"/>
    <w:rsid w:val="008847BC"/>
    <w:rsid w:val="00884F7A"/>
    <w:rsid w:val="00885249"/>
    <w:rsid w:val="008877FD"/>
    <w:rsid w:val="00890441"/>
    <w:rsid w:val="00890943"/>
    <w:rsid w:val="0089132B"/>
    <w:rsid w:val="00891C7F"/>
    <w:rsid w:val="00892132"/>
    <w:rsid w:val="00893B1C"/>
    <w:rsid w:val="00893E19"/>
    <w:rsid w:val="00896418"/>
    <w:rsid w:val="00896C95"/>
    <w:rsid w:val="008A05FF"/>
    <w:rsid w:val="008A17E9"/>
    <w:rsid w:val="008A4E7D"/>
    <w:rsid w:val="008A61E9"/>
    <w:rsid w:val="008A7C71"/>
    <w:rsid w:val="008B0970"/>
    <w:rsid w:val="008B0EE4"/>
    <w:rsid w:val="008B150C"/>
    <w:rsid w:val="008B4C33"/>
    <w:rsid w:val="008B4F65"/>
    <w:rsid w:val="008B5E78"/>
    <w:rsid w:val="008C01A0"/>
    <w:rsid w:val="008C1A4F"/>
    <w:rsid w:val="008C42B3"/>
    <w:rsid w:val="008C4BD0"/>
    <w:rsid w:val="008C77E2"/>
    <w:rsid w:val="008D0770"/>
    <w:rsid w:val="008D543F"/>
    <w:rsid w:val="008E033D"/>
    <w:rsid w:val="008E034E"/>
    <w:rsid w:val="008E0376"/>
    <w:rsid w:val="008E3193"/>
    <w:rsid w:val="008E34A0"/>
    <w:rsid w:val="008E4DAA"/>
    <w:rsid w:val="008E4EE1"/>
    <w:rsid w:val="008E5135"/>
    <w:rsid w:val="008E5863"/>
    <w:rsid w:val="008E5A86"/>
    <w:rsid w:val="008E689E"/>
    <w:rsid w:val="008E7CA3"/>
    <w:rsid w:val="008F1B68"/>
    <w:rsid w:val="008F3DFA"/>
    <w:rsid w:val="008F4D11"/>
    <w:rsid w:val="008F5303"/>
    <w:rsid w:val="008F5B6C"/>
    <w:rsid w:val="008F62A7"/>
    <w:rsid w:val="009061DA"/>
    <w:rsid w:val="009066A6"/>
    <w:rsid w:val="00906AB0"/>
    <w:rsid w:val="00907B3B"/>
    <w:rsid w:val="00911201"/>
    <w:rsid w:val="00911970"/>
    <w:rsid w:val="00912574"/>
    <w:rsid w:val="00913AD6"/>
    <w:rsid w:val="00913E9C"/>
    <w:rsid w:val="0091433C"/>
    <w:rsid w:val="009169D5"/>
    <w:rsid w:val="00922139"/>
    <w:rsid w:val="00922C65"/>
    <w:rsid w:val="009246C8"/>
    <w:rsid w:val="00924ED7"/>
    <w:rsid w:val="00925BAB"/>
    <w:rsid w:val="00927762"/>
    <w:rsid w:val="00927C51"/>
    <w:rsid w:val="009308D7"/>
    <w:rsid w:val="00931DF3"/>
    <w:rsid w:val="0093252D"/>
    <w:rsid w:val="00932BBF"/>
    <w:rsid w:val="00933227"/>
    <w:rsid w:val="0093407C"/>
    <w:rsid w:val="00934185"/>
    <w:rsid w:val="00935E1F"/>
    <w:rsid w:val="00937ECE"/>
    <w:rsid w:val="00940322"/>
    <w:rsid w:val="00940C49"/>
    <w:rsid w:val="0094135C"/>
    <w:rsid w:val="009430A1"/>
    <w:rsid w:val="009433C8"/>
    <w:rsid w:val="00943600"/>
    <w:rsid w:val="00944085"/>
    <w:rsid w:val="00944DA8"/>
    <w:rsid w:val="00945786"/>
    <w:rsid w:val="00945BB6"/>
    <w:rsid w:val="009468AE"/>
    <w:rsid w:val="009521CD"/>
    <w:rsid w:val="00952888"/>
    <w:rsid w:val="00952F7F"/>
    <w:rsid w:val="00953892"/>
    <w:rsid w:val="00953BF2"/>
    <w:rsid w:val="00953CF1"/>
    <w:rsid w:val="00954C44"/>
    <w:rsid w:val="00955C19"/>
    <w:rsid w:val="0095786C"/>
    <w:rsid w:val="00960E58"/>
    <w:rsid w:val="00961C4E"/>
    <w:rsid w:val="00962029"/>
    <w:rsid w:val="009635AC"/>
    <w:rsid w:val="00964033"/>
    <w:rsid w:val="00966750"/>
    <w:rsid w:val="0097123D"/>
    <w:rsid w:val="00972A54"/>
    <w:rsid w:val="00974AD8"/>
    <w:rsid w:val="009779F2"/>
    <w:rsid w:val="00981BD5"/>
    <w:rsid w:val="00981E1B"/>
    <w:rsid w:val="009824E4"/>
    <w:rsid w:val="0098327A"/>
    <w:rsid w:val="00983A1E"/>
    <w:rsid w:val="00984021"/>
    <w:rsid w:val="00985117"/>
    <w:rsid w:val="009861F4"/>
    <w:rsid w:val="009862CC"/>
    <w:rsid w:val="00987F46"/>
    <w:rsid w:val="0099023F"/>
    <w:rsid w:val="009912BD"/>
    <w:rsid w:val="009914DA"/>
    <w:rsid w:val="009918FE"/>
    <w:rsid w:val="00993CAF"/>
    <w:rsid w:val="009A3C01"/>
    <w:rsid w:val="009A5454"/>
    <w:rsid w:val="009A755C"/>
    <w:rsid w:val="009A75C1"/>
    <w:rsid w:val="009A7648"/>
    <w:rsid w:val="009B145D"/>
    <w:rsid w:val="009B2307"/>
    <w:rsid w:val="009B3741"/>
    <w:rsid w:val="009B3B61"/>
    <w:rsid w:val="009B3BE2"/>
    <w:rsid w:val="009B5495"/>
    <w:rsid w:val="009B5843"/>
    <w:rsid w:val="009B5845"/>
    <w:rsid w:val="009B699E"/>
    <w:rsid w:val="009C1CA0"/>
    <w:rsid w:val="009C27E1"/>
    <w:rsid w:val="009C3DE4"/>
    <w:rsid w:val="009C426F"/>
    <w:rsid w:val="009C5E35"/>
    <w:rsid w:val="009C5ED7"/>
    <w:rsid w:val="009C66AE"/>
    <w:rsid w:val="009C752C"/>
    <w:rsid w:val="009D0EF7"/>
    <w:rsid w:val="009D237A"/>
    <w:rsid w:val="009D574E"/>
    <w:rsid w:val="009E0A30"/>
    <w:rsid w:val="009E0D11"/>
    <w:rsid w:val="009E1812"/>
    <w:rsid w:val="009E30C1"/>
    <w:rsid w:val="009E5F2C"/>
    <w:rsid w:val="009E6B07"/>
    <w:rsid w:val="009E7C34"/>
    <w:rsid w:val="009F016F"/>
    <w:rsid w:val="009F04A9"/>
    <w:rsid w:val="009F0557"/>
    <w:rsid w:val="009F2C1F"/>
    <w:rsid w:val="009F3295"/>
    <w:rsid w:val="009F49F5"/>
    <w:rsid w:val="009F4A53"/>
    <w:rsid w:val="009F5049"/>
    <w:rsid w:val="009F5486"/>
    <w:rsid w:val="009F5533"/>
    <w:rsid w:val="00A018FA"/>
    <w:rsid w:val="00A03335"/>
    <w:rsid w:val="00A03996"/>
    <w:rsid w:val="00A03FDF"/>
    <w:rsid w:val="00A04694"/>
    <w:rsid w:val="00A10824"/>
    <w:rsid w:val="00A12569"/>
    <w:rsid w:val="00A13FFF"/>
    <w:rsid w:val="00A1539D"/>
    <w:rsid w:val="00A1559C"/>
    <w:rsid w:val="00A15A48"/>
    <w:rsid w:val="00A16046"/>
    <w:rsid w:val="00A2054C"/>
    <w:rsid w:val="00A2064F"/>
    <w:rsid w:val="00A22633"/>
    <w:rsid w:val="00A24608"/>
    <w:rsid w:val="00A25440"/>
    <w:rsid w:val="00A25F16"/>
    <w:rsid w:val="00A264E5"/>
    <w:rsid w:val="00A2705C"/>
    <w:rsid w:val="00A31F3E"/>
    <w:rsid w:val="00A334F1"/>
    <w:rsid w:val="00A335EA"/>
    <w:rsid w:val="00A35508"/>
    <w:rsid w:val="00A3715B"/>
    <w:rsid w:val="00A43C5B"/>
    <w:rsid w:val="00A440F4"/>
    <w:rsid w:val="00A47679"/>
    <w:rsid w:val="00A513D1"/>
    <w:rsid w:val="00A51961"/>
    <w:rsid w:val="00A52149"/>
    <w:rsid w:val="00A52754"/>
    <w:rsid w:val="00A52F9F"/>
    <w:rsid w:val="00A54E10"/>
    <w:rsid w:val="00A5649C"/>
    <w:rsid w:val="00A57819"/>
    <w:rsid w:val="00A64CC7"/>
    <w:rsid w:val="00A66348"/>
    <w:rsid w:val="00A6762F"/>
    <w:rsid w:val="00A72BBB"/>
    <w:rsid w:val="00A73568"/>
    <w:rsid w:val="00A73A02"/>
    <w:rsid w:val="00A7551E"/>
    <w:rsid w:val="00A83A4F"/>
    <w:rsid w:val="00A83F07"/>
    <w:rsid w:val="00A84132"/>
    <w:rsid w:val="00A86177"/>
    <w:rsid w:val="00A86FB1"/>
    <w:rsid w:val="00A87EF2"/>
    <w:rsid w:val="00A92094"/>
    <w:rsid w:val="00A945AF"/>
    <w:rsid w:val="00A95157"/>
    <w:rsid w:val="00A95E9F"/>
    <w:rsid w:val="00AA122B"/>
    <w:rsid w:val="00AA2D25"/>
    <w:rsid w:val="00AA3BF8"/>
    <w:rsid w:val="00AA5C51"/>
    <w:rsid w:val="00AA5D11"/>
    <w:rsid w:val="00AA6539"/>
    <w:rsid w:val="00AB1255"/>
    <w:rsid w:val="00AB125A"/>
    <w:rsid w:val="00AB160C"/>
    <w:rsid w:val="00AB3555"/>
    <w:rsid w:val="00AB3E80"/>
    <w:rsid w:val="00AB5E04"/>
    <w:rsid w:val="00AB69A3"/>
    <w:rsid w:val="00AC0375"/>
    <w:rsid w:val="00AC0CF1"/>
    <w:rsid w:val="00AC0D44"/>
    <w:rsid w:val="00AC246A"/>
    <w:rsid w:val="00AC3E1F"/>
    <w:rsid w:val="00AC5572"/>
    <w:rsid w:val="00AC569D"/>
    <w:rsid w:val="00AC756B"/>
    <w:rsid w:val="00AC765B"/>
    <w:rsid w:val="00AC7908"/>
    <w:rsid w:val="00AD0545"/>
    <w:rsid w:val="00AD1589"/>
    <w:rsid w:val="00AD2103"/>
    <w:rsid w:val="00AD34A3"/>
    <w:rsid w:val="00AD3853"/>
    <w:rsid w:val="00AE0AC0"/>
    <w:rsid w:val="00AE0F6C"/>
    <w:rsid w:val="00AE18B1"/>
    <w:rsid w:val="00AE20F4"/>
    <w:rsid w:val="00AE4DB6"/>
    <w:rsid w:val="00AE51F2"/>
    <w:rsid w:val="00AE5D5A"/>
    <w:rsid w:val="00AE7725"/>
    <w:rsid w:val="00AF0A42"/>
    <w:rsid w:val="00AF0E2B"/>
    <w:rsid w:val="00AF0FB3"/>
    <w:rsid w:val="00AF224F"/>
    <w:rsid w:val="00AF3BB6"/>
    <w:rsid w:val="00AF4709"/>
    <w:rsid w:val="00AF48AB"/>
    <w:rsid w:val="00AF6A83"/>
    <w:rsid w:val="00B02864"/>
    <w:rsid w:val="00B029F4"/>
    <w:rsid w:val="00B033D2"/>
    <w:rsid w:val="00B04C47"/>
    <w:rsid w:val="00B073F7"/>
    <w:rsid w:val="00B103C5"/>
    <w:rsid w:val="00B137CF"/>
    <w:rsid w:val="00B14BC1"/>
    <w:rsid w:val="00B14E77"/>
    <w:rsid w:val="00B15A18"/>
    <w:rsid w:val="00B171EC"/>
    <w:rsid w:val="00B17768"/>
    <w:rsid w:val="00B2287D"/>
    <w:rsid w:val="00B22A90"/>
    <w:rsid w:val="00B23BDA"/>
    <w:rsid w:val="00B243D6"/>
    <w:rsid w:val="00B25706"/>
    <w:rsid w:val="00B2779E"/>
    <w:rsid w:val="00B27810"/>
    <w:rsid w:val="00B31973"/>
    <w:rsid w:val="00B344B8"/>
    <w:rsid w:val="00B3684B"/>
    <w:rsid w:val="00B36D31"/>
    <w:rsid w:val="00B42960"/>
    <w:rsid w:val="00B42F50"/>
    <w:rsid w:val="00B442AC"/>
    <w:rsid w:val="00B44541"/>
    <w:rsid w:val="00B459E0"/>
    <w:rsid w:val="00B5070A"/>
    <w:rsid w:val="00B51691"/>
    <w:rsid w:val="00B52FD0"/>
    <w:rsid w:val="00B53C04"/>
    <w:rsid w:val="00B55450"/>
    <w:rsid w:val="00B56424"/>
    <w:rsid w:val="00B60B7D"/>
    <w:rsid w:val="00B61492"/>
    <w:rsid w:val="00B62687"/>
    <w:rsid w:val="00B62B8E"/>
    <w:rsid w:val="00B6318E"/>
    <w:rsid w:val="00B632BB"/>
    <w:rsid w:val="00B632DD"/>
    <w:rsid w:val="00B6498F"/>
    <w:rsid w:val="00B66ADD"/>
    <w:rsid w:val="00B706AD"/>
    <w:rsid w:val="00B72235"/>
    <w:rsid w:val="00B75343"/>
    <w:rsid w:val="00B75F0D"/>
    <w:rsid w:val="00B77CE0"/>
    <w:rsid w:val="00B77E5C"/>
    <w:rsid w:val="00B80178"/>
    <w:rsid w:val="00B80C4E"/>
    <w:rsid w:val="00B82665"/>
    <w:rsid w:val="00B82917"/>
    <w:rsid w:val="00B829E0"/>
    <w:rsid w:val="00B836E1"/>
    <w:rsid w:val="00B84156"/>
    <w:rsid w:val="00B85988"/>
    <w:rsid w:val="00B8626C"/>
    <w:rsid w:val="00B91791"/>
    <w:rsid w:val="00B936B8"/>
    <w:rsid w:val="00B939FC"/>
    <w:rsid w:val="00BA077C"/>
    <w:rsid w:val="00BA2FB9"/>
    <w:rsid w:val="00BA3136"/>
    <w:rsid w:val="00BA4AF7"/>
    <w:rsid w:val="00BA6677"/>
    <w:rsid w:val="00BA7715"/>
    <w:rsid w:val="00BB30F1"/>
    <w:rsid w:val="00BB3951"/>
    <w:rsid w:val="00BB4CBE"/>
    <w:rsid w:val="00BB4F6B"/>
    <w:rsid w:val="00BB57D9"/>
    <w:rsid w:val="00BB595F"/>
    <w:rsid w:val="00BB5E09"/>
    <w:rsid w:val="00BB5F9D"/>
    <w:rsid w:val="00BB6299"/>
    <w:rsid w:val="00BB6924"/>
    <w:rsid w:val="00BC01DA"/>
    <w:rsid w:val="00BC33A4"/>
    <w:rsid w:val="00BC4CF3"/>
    <w:rsid w:val="00BC670A"/>
    <w:rsid w:val="00BC6C2D"/>
    <w:rsid w:val="00BC76E1"/>
    <w:rsid w:val="00BD1C9D"/>
    <w:rsid w:val="00BD3144"/>
    <w:rsid w:val="00BD45FF"/>
    <w:rsid w:val="00BD4655"/>
    <w:rsid w:val="00BD4F8B"/>
    <w:rsid w:val="00BD5893"/>
    <w:rsid w:val="00BD5C54"/>
    <w:rsid w:val="00BD66ED"/>
    <w:rsid w:val="00BD7B0D"/>
    <w:rsid w:val="00BD7C79"/>
    <w:rsid w:val="00BE1A1C"/>
    <w:rsid w:val="00BE1F4E"/>
    <w:rsid w:val="00BE254C"/>
    <w:rsid w:val="00BE2E19"/>
    <w:rsid w:val="00BE3815"/>
    <w:rsid w:val="00BE6468"/>
    <w:rsid w:val="00BF00B3"/>
    <w:rsid w:val="00BF29C0"/>
    <w:rsid w:val="00BF39DA"/>
    <w:rsid w:val="00BF442A"/>
    <w:rsid w:val="00BF5125"/>
    <w:rsid w:val="00BF5222"/>
    <w:rsid w:val="00BF54CB"/>
    <w:rsid w:val="00BF5D22"/>
    <w:rsid w:val="00BF5EAC"/>
    <w:rsid w:val="00BF61DB"/>
    <w:rsid w:val="00BF6FA6"/>
    <w:rsid w:val="00BF7AD9"/>
    <w:rsid w:val="00C0116D"/>
    <w:rsid w:val="00C02502"/>
    <w:rsid w:val="00C03413"/>
    <w:rsid w:val="00C05172"/>
    <w:rsid w:val="00C0622A"/>
    <w:rsid w:val="00C10896"/>
    <w:rsid w:val="00C10F6C"/>
    <w:rsid w:val="00C112D7"/>
    <w:rsid w:val="00C116CE"/>
    <w:rsid w:val="00C12025"/>
    <w:rsid w:val="00C12A1F"/>
    <w:rsid w:val="00C13039"/>
    <w:rsid w:val="00C136C2"/>
    <w:rsid w:val="00C13C74"/>
    <w:rsid w:val="00C14F7B"/>
    <w:rsid w:val="00C1506B"/>
    <w:rsid w:val="00C16F27"/>
    <w:rsid w:val="00C17A63"/>
    <w:rsid w:val="00C21E5E"/>
    <w:rsid w:val="00C22A8E"/>
    <w:rsid w:val="00C22A94"/>
    <w:rsid w:val="00C2453F"/>
    <w:rsid w:val="00C249EF"/>
    <w:rsid w:val="00C24A33"/>
    <w:rsid w:val="00C24F70"/>
    <w:rsid w:val="00C25A98"/>
    <w:rsid w:val="00C31F08"/>
    <w:rsid w:val="00C3209B"/>
    <w:rsid w:val="00C33185"/>
    <w:rsid w:val="00C33909"/>
    <w:rsid w:val="00C35DAF"/>
    <w:rsid w:val="00C362B4"/>
    <w:rsid w:val="00C36EFD"/>
    <w:rsid w:val="00C3756D"/>
    <w:rsid w:val="00C415AC"/>
    <w:rsid w:val="00C41FF5"/>
    <w:rsid w:val="00C43795"/>
    <w:rsid w:val="00C43FDD"/>
    <w:rsid w:val="00C44EBF"/>
    <w:rsid w:val="00C46FED"/>
    <w:rsid w:val="00C471CF"/>
    <w:rsid w:val="00C528D0"/>
    <w:rsid w:val="00C559C6"/>
    <w:rsid w:val="00C56294"/>
    <w:rsid w:val="00C56304"/>
    <w:rsid w:val="00C573F8"/>
    <w:rsid w:val="00C60903"/>
    <w:rsid w:val="00C60BA8"/>
    <w:rsid w:val="00C636FF"/>
    <w:rsid w:val="00C66834"/>
    <w:rsid w:val="00C67738"/>
    <w:rsid w:val="00C677EE"/>
    <w:rsid w:val="00C716C6"/>
    <w:rsid w:val="00C7281C"/>
    <w:rsid w:val="00C72A79"/>
    <w:rsid w:val="00C76AD1"/>
    <w:rsid w:val="00C77896"/>
    <w:rsid w:val="00C803DA"/>
    <w:rsid w:val="00C82BD2"/>
    <w:rsid w:val="00C84457"/>
    <w:rsid w:val="00C86339"/>
    <w:rsid w:val="00C86686"/>
    <w:rsid w:val="00C868E5"/>
    <w:rsid w:val="00C87DFC"/>
    <w:rsid w:val="00C87E33"/>
    <w:rsid w:val="00C92354"/>
    <w:rsid w:val="00C95780"/>
    <w:rsid w:val="00C95BFC"/>
    <w:rsid w:val="00C9730F"/>
    <w:rsid w:val="00C975D9"/>
    <w:rsid w:val="00CA1BF0"/>
    <w:rsid w:val="00CA4E32"/>
    <w:rsid w:val="00CA71C8"/>
    <w:rsid w:val="00CA730C"/>
    <w:rsid w:val="00CB0338"/>
    <w:rsid w:val="00CB0BF2"/>
    <w:rsid w:val="00CB0EB5"/>
    <w:rsid w:val="00CB1041"/>
    <w:rsid w:val="00CB1AEB"/>
    <w:rsid w:val="00CB1E8E"/>
    <w:rsid w:val="00CB2B1E"/>
    <w:rsid w:val="00CB2B46"/>
    <w:rsid w:val="00CB3977"/>
    <w:rsid w:val="00CB3DAD"/>
    <w:rsid w:val="00CB57B4"/>
    <w:rsid w:val="00CB5D5D"/>
    <w:rsid w:val="00CB5DCF"/>
    <w:rsid w:val="00CB6379"/>
    <w:rsid w:val="00CB684E"/>
    <w:rsid w:val="00CB7A37"/>
    <w:rsid w:val="00CC0B72"/>
    <w:rsid w:val="00CC1D1F"/>
    <w:rsid w:val="00CC31B1"/>
    <w:rsid w:val="00CC3792"/>
    <w:rsid w:val="00CC3E23"/>
    <w:rsid w:val="00CC420E"/>
    <w:rsid w:val="00CC4CDE"/>
    <w:rsid w:val="00CD01FC"/>
    <w:rsid w:val="00CD160D"/>
    <w:rsid w:val="00CD5562"/>
    <w:rsid w:val="00CD5B56"/>
    <w:rsid w:val="00CD694F"/>
    <w:rsid w:val="00CE1C3C"/>
    <w:rsid w:val="00CE4793"/>
    <w:rsid w:val="00CE4AEC"/>
    <w:rsid w:val="00CE642E"/>
    <w:rsid w:val="00CE760E"/>
    <w:rsid w:val="00CE7B3D"/>
    <w:rsid w:val="00CE7DF3"/>
    <w:rsid w:val="00CF2871"/>
    <w:rsid w:val="00CF4183"/>
    <w:rsid w:val="00CF4E46"/>
    <w:rsid w:val="00CF699A"/>
    <w:rsid w:val="00D004AE"/>
    <w:rsid w:val="00D01D6B"/>
    <w:rsid w:val="00D03623"/>
    <w:rsid w:val="00D0382F"/>
    <w:rsid w:val="00D04170"/>
    <w:rsid w:val="00D04254"/>
    <w:rsid w:val="00D049ED"/>
    <w:rsid w:val="00D04D36"/>
    <w:rsid w:val="00D07404"/>
    <w:rsid w:val="00D1084A"/>
    <w:rsid w:val="00D110FC"/>
    <w:rsid w:val="00D11EC2"/>
    <w:rsid w:val="00D12E1A"/>
    <w:rsid w:val="00D13B68"/>
    <w:rsid w:val="00D13FB8"/>
    <w:rsid w:val="00D145BF"/>
    <w:rsid w:val="00D14797"/>
    <w:rsid w:val="00D1484B"/>
    <w:rsid w:val="00D168FD"/>
    <w:rsid w:val="00D2084A"/>
    <w:rsid w:val="00D2221E"/>
    <w:rsid w:val="00D242D1"/>
    <w:rsid w:val="00D24E66"/>
    <w:rsid w:val="00D25810"/>
    <w:rsid w:val="00D27D84"/>
    <w:rsid w:val="00D33CE2"/>
    <w:rsid w:val="00D34736"/>
    <w:rsid w:val="00D372BA"/>
    <w:rsid w:val="00D37F65"/>
    <w:rsid w:val="00D40D7B"/>
    <w:rsid w:val="00D41BC7"/>
    <w:rsid w:val="00D44756"/>
    <w:rsid w:val="00D44FE3"/>
    <w:rsid w:val="00D4602A"/>
    <w:rsid w:val="00D47C99"/>
    <w:rsid w:val="00D5014C"/>
    <w:rsid w:val="00D50B04"/>
    <w:rsid w:val="00D548D0"/>
    <w:rsid w:val="00D5662F"/>
    <w:rsid w:val="00D567A2"/>
    <w:rsid w:val="00D567AA"/>
    <w:rsid w:val="00D567EB"/>
    <w:rsid w:val="00D617DD"/>
    <w:rsid w:val="00D62A5D"/>
    <w:rsid w:val="00D669BE"/>
    <w:rsid w:val="00D67C90"/>
    <w:rsid w:val="00D71000"/>
    <w:rsid w:val="00D715F1"/>
    <w:rsid w:val="00D73EF6"/>
    <w:rsid w:val="00D7454B"/>
    <w:rsid w:val="00D751E2"/>
    <w:rsid w:val="00D801A6"/>
    <w:rsid w:val="00D814F7"/>
    <w:rsid w:val="00D81CCD"/>
    <w:rsid w:val="00D81DF8"/>
    <w:rsid w:val="00D8480C"/>
    <w:rsid w:val="00D873B0"/>
    <w:rsid w:val="00D87426"/>
    <w:rsid w:val="00D879CF"/>
    <w:rsid w:val="00D91A2A"/>
    <w:rsid w:val="00D92456"/>
    <w:rsid w:val="00D9259A"/>
    <w:rsid w:val="00D935B8"/>
    <w:rsid w:val="00D94308"/>
    <w:rsid w:val="00D95176"/>
    <w:rsid w:val="00D9555F"/>
    <w:rsid w:val="00D974AD"/>
    <w:rsid w:val="00DA035A"/>
    <w:rsid w:val="00DA05FC"/>
    <w:rsid w:val="00DA0A8C"/>
    <w:rsid w:val="00DA171C"/>
    <w:rsid w:val="00DA21DB"/>
    <w:rsid w:val="00DA3648"/>
    <w:rsid w:val="00DA46DB"/>
    <w:rsid w:val="00DA4CF9"/>
    <w:rsid w:val="00DA540E"/>
    <w:rsid w:val="00DA59B4"/>
    <w:rsid w:val="00DA5D4A"/>
    <w:rsid w:val="00DA628A"/>
    <w:rsid w:val="00DA7474"/>
    <w:rsid w:val="00DA7E33"/>
    <w:rsid w:val="00DB188E"/>
    <w:rsid w:val="00DB224E"/>
    <w:rsid w:val="00DB25F2"/>
    <w:rsid w:val="00DB2619"/>
    <w:rsid w:val="00DB26CE"/>
    <w:rsid w:val="00DB2D5C"/>
    <w:rsid w:val="00DB2E2D"/>
    <w:rsid w:val="00DB3027"/>
    <w:rsid w:val="00DB373C"/>
    <w:rsid w:val="00DB5CA9"/>
    <w:rsid w:val="00DB652D"/>
    <w:rsid w:val="00DB7EEC"/>
    <w:rsid w:val="00DC14CA"/>
    <w:rsid w:val="00DC1BF9"/>
    <w:rsid w:val="00DC1CF9"/>
    <w:rsid w:val="00DC1DA5"/>
    <w:rsid w:val="00DC2CF8"/>
    <w:rsid w:val="00DC4108"/>
    <w:rsid w:val="00DC46FC"/>
    <w:rsid w:val="00DC4DB8"/>
    <w:rsid w:val="00DC6469"/>
    <w:rsid w:val="00DC6BCA"/>
    <w:rsid w:val="00DC74EE"/>
    <w:rsid w:val="00DC7562"/>
    <w:rsid w:val="00DD13CF"/>
    <w:rsid w:val="00DD14C8"/>
    <w:rsid w:val="00DD185E"/>
    <w:rsid w:val="00DD18D2"/>
    <w:rsid w:val="00DD3E85"/>
    <w:rsid w:val="00DD4794"/>
    <w:rsid w:val="00DD4995"/>
    <w:rsid w:val="00DD63B8"/>
    <w:rsid w:val="00DD694C"/>
    <w:rsid w:val="00DD7713"/>
    <w:rsid w:val="00DD7B8D"/>
    <w:rsid w:val="00DE0BD1"/>
    <w:rsid w:val="00DE361F"/>
    <w:rsid w:val="00DE49AD"/>
    <w:rsid w:val="00DE5A8C"/>
    <w:rsid w:val="00DE66AE"/>
    <w:rsid w:val="00DE6AEC"/>
    <w:rsid w:val="00DF05BF"/>
    <w:rsid w:val="00DF082B"/>
    <w:rsid w:val="00DF0B23"/>
    <w:rsid w:val="00DF0E03"/>
    <w:rsid w:val="00DF59AA"/>
    <w:rsid w:val="00DF62B1"/>
    <w:rsid w:val="00DF709F"/>
    <w:rsid w:val="00DF7B86"/>
    <w:rsid w:val="00E0210C"/>
    <w:rsid w:val="00E02290"/>
    <w:rsid w:val="00E02F02"/>
    <w:rsid w:val="00E031F2"/>
    <w:rsid w:val="00E03989"/>
    <w:rsid w:val="00E0582E"/>
    <w:rsid w:val="00E05B29"/>
    <w:rsid w:val="00E069F2"/>
    <w:rsid w:val="00E12CC1"/>
    <w:rsid w:val="00E13A6E"/>
    <w:rsid w:val="00E154F8"/>
    <w:rsid w:val="00E16B7C"/>
    <w:rsid w:val="00E20D66"/>
    <w:rsid w:val="00E22307"/>
    <w:rsid w:val="00E22574"/>
    <w:rsid w:val="00E22CBD"/>
    <w:rsid w:val="00E24744"/>
    <w:rsid w:val="00E2669A"/>
    <w:rsid w:val="00E3009F"/>
    <w:rsid w:val="00E311D5"/>
    <w:rsid w:val="00E3168A"/>
    <w:rsid w:val="00E32297"/>
    <w:rsid w:val="00E33449"/>
    <w:rsid w:val="00E344CD"/>
    <w:rsid w:val="00E35434"/>
    <w:rsid w:val="00E430FC"/>
    <w:rsid w:val="00E43169"/>
    <w:rsid w:val="00E44FDE"/>
    <w:rsid w:val="00E451EC"/>
    <w:rsid w:val="00E468EB"/>
    <w:rsid w:val="00E4733D"/>
    <w:rsid w:val="00E475B2"/>
    <w:rsid w:val="00E50478"/>
    <w:rsid w:val="00E509C0"/>
    <w:rsid w:val="00E51512"/>
    <w:rsid w:val="00E51FB9"/>
    <w:rsid w:val="00E546E5"/>
    <w:rsid w:val="00E547D1"/>
    <w:rsid w:val="00E55318"/>
    <w:rsid w:val="00E55C58"/>
    <w:rsid w:val="00E55F9A"/>
    <w:rsid w:val="00E563BD"/>
    <w:rsid w:val="00E601D4"/>
    <w:rsid w:val="00E6150C"/>
    <w:rsid w:val="00E61597"/>
    <w:rsid w:val="00E61F70"/>
    <w:rsid w:val="00E64124"/>
    <w:rsid w:val="00E64BCB"/>
    <w:rsid w:val="00E64FBF"/>
    <w:rsid w:val="00E71677"/>
    <w:rsid w:val="00E72300"/>
    <w:rsid w:val="00E72682"/>
    <w:rsid w:val="00E73046"/>
    <w:rsid w:val="00E731B6"/>
    <w:rsid w:val="00E7502F"/>
    <w:rsid w:val="00E7615A"/>
    <w:rsid w:val="00E7624B"/>
    <w:rsid w:val="00E77E7B"/>
    <w:rsid w:val="00E8007F"/>
    <w:rsid w:val="00E81305"/>
    <w:rsid w:val="00E81B0B"/>
    <w:rsid w:val="00E8354C"/>
    <w:rsid w:val="00E83819"/>
    <w:rsid w:val="00E86586"/>
    <w:rsid w:val="00E86783"/>
    <w:rsid w:val="00E90C4A"/>
    <w:rsid w:val="00E90F18"/>
    <w:rsid w:val="00E91345"/>
    <w:rsid w:val="00E9327F"/>
    <w:rsid w:val="00E93C9A"/>
    <w:rsid w:val="00E955F0"/>
    <w:rsid w:val="00E9566F"/>
    <w:rsid w:val="00E95E2F"/>
    <w:rsid w:val="00E97889"/>
    <w:rsid w:val="00E97A92"/>
    <w:rsid w:val="00EA1C4C"/>
    <w:rsid w:val="00EA2092"/>
    <w:rsid w:val="00EA2983"/>
    <w:rsid w:val="00EA2DE2"/>
    <w:rsid w:val="00EA44DB"/>
    <w:rsid w:val="00EA4FC5"/>
    <w:rsid w:val="00EA5035"/>
    <w:rsid w:val="00EA5E17"/>
    <w:rsid w:val="00EA6293"/>
    <w:rsid w:val="00EB096B"/>
    <w:rsid w:val="00EB12B7"/>
    <w:rsid w:val="00EB1632"/>
    <w:rsid w:val="00EB222C"/>
    <w:rsid w:val="00EB25EC"/>
    <w:rsid w:val="00EB2643"/>
    <w:rsid w:val="00EB2B1E"/>
    <w:rsid w:val="00EB3C09"/>
    <w:rsid w:val="00EB4681"/>
    <w:rsid w:val="00EB57E9"/>
    <w:rsid w:val="00EB59F9"/>
    <w:rsid w:val="00EB7391"/>
    <w:rsid w:val="00EB758C"/>
    <w:rsid w:val="00EB7AAB"/>
    <w:rsid w:val="00EC0A1B"/>
    <w:rsid w:val="00EC1EA0"/>
    <w:rsid w:val="00EC1F85"/>
    <w:rsid w:val="00EC2F83"/>
    <w:rsid w:val="00EC32B7"/>
    <w:rsid w:val="00EC548A"/>
    <w:rsid w:val="00EC6BB5"/>
    <w:rsid w:val="00ED11E8"/>
    <w:rsid w:val="00ED172E"/>
    <w:rsid w:val="00ED17B2"/>
    <w:rsid w:val="00ED3205"/>
    <w:rsid w:val="00ED35DC"/>
    <w:rsid w:val="00ED62E7"/>
    <w:rsid w:val="00EE295F"/>
    <w:rsid w:val="00EE2CA5"/>
    <w:rsid w:val="00EE3B0A"/>
    <w:rsid w:val="00EE4115"/>
    <w:rsid w:val="00EE68A0"/>
    <w:rsid w:val="00EF2416"/>
    <w:rsid w:val="00EF58E3"/>
    <w:rsid w:val="00EF6270"/>
    <w:rsid w:val="00EF71C5"/>
    <w:rsid w:val="00EF7905"/>
    <w:rsid w:val="00F00B0A"/>
    <w:rsid w:val="00F03226"/>
    <w:rsid w:val="00F0575E"/>
    <w:rsid w:val="00F05AD9"/>
    <w:rsid w:val="00F07673"/>
    <w:rsid w:val="00F11AB6"/>
    <w:rsid w:val="00F126A4"/>
    <w:rsid w:val="00F137BE"/>
    <w:rsid w:val="00F14991"/>
    <w:rsid w:val="00F155E0"/>
    <w:rsid w:val="00F17701"/>
    <w:rsid w:val="00F2016E"/>
    <w:rsid w:val="00F20253"/>
    <w:rsid w:val="00F21028"/>
    <w:rsid w:val="00F213C2"/>
    <w:rsid w:val="00F21B8C"/>
    <w:rsid w:val="00F23794"/>
    <w:rsid w:val="00F242C9"/>
    <w:rsid w:val="00F24BB7"/>
    <w:rsid w:val="00F27BE5"/>
    <w:rsid w:val="00F30B32"/>
    <w:rsid w:val="00F30D58"/>
    <w:rsid w:val="00F3222B"/>
    <w:rsid w:val="00F40082"/>
    <w:rsid w:val="00F40C48"/>
    <w:rsid w:val="00F4353F"/>
    <w:rsid w:val="00F44244"/>
    <w:rsid w:val="00F44618"/>
    <w:rsid w:val="00F45E3C"/>
    <w:rsid w:val="00F502B6"/>
    <w:rsid w:val="00F52690"/>
    <w:rsid w:val="00F5274B"/>
    <w:rsid w:val="00F52A76"/>
    <w:rsid w:val="00F52ECC"/>
    <w:rsid w:val="00F5345C"/>
    <w:rsid w:val="00F60874"/>
    <w:rsid w:val="00F63C72"/>
    <w:rsid w:val="00F64EF9"/>
    <w:rsid w:val="00F662C3"/>
    <w:rsid w:val="00F66836"/>
    <w:rsid w:val="00F674E7"/>
    <w:rsid w:val="00F7185A"/>
    <w:rsid w:val="00F71CF9"/>
    <w:rsid w:val="00F725C2"/>
    <w:rsid w:val="00F73C33"/>
    <w:rsid w:val="00F740A9"/>
    <w:rsid w:val="00F74520"/>
    <w:rsid w:val="00F745DF"/>
    <w:rsid w:val="00F754B3"/>
    <w:rsid w:val="00F82ACD"/>
    <w:rsid w:val="00F84BE0"/>
    <w:rsid w:val="00F875A7"/>
    <w:rsid w:val="00F93338"/>
    <w:rsid w:val="00F9360C"/>
    <w:rsid w:val="00F93A59"/>
    <w:rsid w:val="00F94DF2"/>
    <w:rsid w:val="00F95781"/>
    <w:rsid w:val="00FA2C71"/>
    <w:rsid w:val="00FA47B6"/>
    <w:rsid w:val="00FB04EE"/>
    <w:rsid w:val="00FB0A8E"/>
    <w:rsid w:val="00FB2B34"/>
    <w:rsid w:val="00FB3953"/>
    <w:rsid w:val="00FB3C18"/>
    <w:rsid w:val="00FB453B"/>
    <w:rsid w:val="00FB6877"/>
    <w:rsid w:val="00FB7BF2"/>
    <w:rsid w:val="00FC0E3A"/>
    <w:rsid w:val="00FC23D9"/>
    <w:rsid w:val="00FC4307"/>
    <w:rsid w:val="00FC5ADA"/>
    <w:rsid w:val="00FC5C52"/>
    <w:rsid w:val="00FD17BC"/>
    <w:rsid w:val="00FD1916"/>
    <w:rsid w:val="00FD3CF5"/>
    <w:rsid w:val="00FD6214"/>
    <w:rsid w:val="00FD70B0"/>
    <w:rsid w:val="00FD78C7"/>
    <w:rsid w:val="00FE0CD7"/>
    <w:rsid w:val="00FE236A"/>
    <w:rsid w:val="00FE784F"/>
    <w:rsid w:val="00FF0827"/>
    <w:rsid w:val="00FF0C77"/>
    <w:rsid w:val="00FF0CA6"/>
    <w:rsid w:val="00FF1ABC"/>
    <w:rsid w:val="00FF26AD"/>
    <w:rsid w:val="00FF2886"/>
    <w:rsid w:val="00FF3208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DE38D"/>
  <w15:docId w15:val="{F52E8321-FBB1-46A1-831A-D13081D3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D43"/>
    <w:pPr>
      <w:jc w:val="both"/>
    </w:pPr>
    <w:rPr>
      <w:rFonts w:ascii="Gentona Light" w:hAnsi="Gentona Light"/>
      <w:color w:val="0D0E0E"/>
    </w:rPr>
  </w:style>
  <w:style w:type="paragraph" w:styleId="Ttulo1">
    <w:name w:val="heading 1"/>
    <w:basedOn w:val="Normal"/>
    <w:next w:val="Normal"/>
    <w:link w:val="Ttulo1Char"/>
    <w:uiPriority w:val="9"/>
    <w:qFormat/>
    <w:rsid w:val="00981BD5"/>
    <w:pPr>
      <w:keepNext/>
      <w:keepLines/>
      <w:numPr>
        <w:numId w:val="19"/>
      </w:numPr>
      <w:spacing w:beforeLines="150" w:before="150" w:after="120" w:line="240" w:lineRule="auto"/>
      <w:ind w:left="432"/>
      <w:outlineLvl w:val="0"/>
    </w:pPr>
    <w:rPr>
      <w:rFonts w:ascii="Gentona Book" w:eastAsiaTheme="majorEastAsia" w:hAnsi="Gentona Book" w:cstheme="majorBidi"/>
      <w:color w:val="E84817"/>
      <w:sz w:val="24"/>
      <w:szCs w:val="20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254152"/>
    <w:pPr>
      <w:numPr>
        <w:numId w:val="0"/>
      </w:numPr>
      <w:spacing w:before="360"/>
      <w:outlineLvl w:val="1"/>
    </w:pPr>
    <w:rPr>
      <w:rFonts w:ascii="Gentona Light" w:eastAsiaTheme="minorHAnsi" w:hAnsi="Gentona Light" w:cstheme="minorBidi"/>
      <w:color w:val="0D0E0E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F5416"/>
    <w:pPr>
      <w:keepNext/>
      <w:keepLines/>
      <w:numPr>
        <w:ilvl w:val="2"/>
        <w:numId w:val="19"/>
      </w:numPr>
      <w:spacing w:before="280" w:after="240"/>
      <w:ind w:left="1287"/>
      <w:outlineLvl w:val="2"/>
    </w:pPr>
    <w:rPr>
      <w:rFonts w:eastAsiaTheme="majorEastAsia" w:cstheme="majorBidi"/>
      <w:b/>
      <w:color w:val="E84817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F5416"/>
    <w:pPr>
      <w:keepNext/>
      <w:keepLines/>
      <w:numPr>
        <w:ilvl w:val="3"/>
        <w:numId w:val="19"/>
      </w:numPr>
      <w:spacing w:before="40" w:after="0"/>
      <w:ind w:left="2280"/>
      <w:outlineLvl w:val="3"/>
    </w:pPr>
    <w:rPr>
      <w:rFonts w:eastAsiaTheme="majorEastAsia" w:cstheme="majorBidi"/>
      <w:i/>
      <w:iCs/>
      <w:color w:val="E84817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B0FB7"/>
    <w:pPr>
      <w:keepNext/>
      <w:keepLines/>
      <w:numPr>
        <w:ilvl w:val="4"/>
        <w:numId w:val="19"/>
      </w:numPr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0FB7"/>
    <w:pPr>
      <w:keepNext/>
      <w:keepLines/>
      <w:numPr>
        <w:ilvl w:val="5"/>
        <w:numId w:val="19"/>
      </w:numPr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B0FB7"/>
    <w:pPr>
      <w:keepNext/>
      <w:keepLines/>
      <w:numPr>
        <w:ilvl w:val="6"/>
        <w:numId w:val="19"/>
      </w:numPr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B0FB7"/>
    <w:pPr>
      <w:keepNext/>
      <w:keepLines/>
      <w:numPr>
        <w:ilvl w:val="7"/>
        <w:numId w:val="19"/>
      </w:numPr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B0FB7"/>
    <w:pPr>
      <w:keepNext/>
      <w:keepLines/>
      <w:numPr>
        <w:ilvl w:val="8"/>
        <w:numId w:val="19"/>
      </w:numPr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74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7426"/>
  </w:style>
  <w:style w:type="paragraph" w:styleId="Rodap">
    <w:name w:val="footer"/>
    <w:basedOn w:val="Normal"/>
    <w:link w:val="RodapChar"/>
    <w:uiPriority w:val="99"/>
    <w:unhideWhenUsed/>
    <w:rsid w:val="00D874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7426"/>
  </w:style>
  <w:style w:type="paragraph" w:styleId="NormalWeb">
    <w:name w:val="Normal (Web)"/>
    <w:basedOn w:val="Normal"/>
    <w:uiPriority w:val="99"/>
    <w:semiHidden/>
    <w:unhideWhenUsed/>
    <w:rsid w:val="00D874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81BD5"/>
    <w:rPr>
      <w:rFonts w:ascii="Gentona Book" w:eastAsiaTheme="majorEastAsia" w:hAnsi="Gentona Book" w:cstheme="majorBidi"/>
      <w:color w:val="E84817"/>
      <w:sz w:val="24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254152"/>
    <w:rPr>
      <w:rFonts w:ascii="Gentona Light" w:hAnsi="Gentona Light"/>
      <w:color w:val="0D0E0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3E2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3E23"/>
    <w:rPr>
      <w:rFonts w:ascii="Segoe UI" w:hAnsi="Segoe UI" w:cs="Segoe UI"/>
      <w:sz w:val="18"/>
      <w:szCs w:val="18"/>
    </w:rPr>
  </w:style>
  <w:style w:type="paragraph" w:styleId="Sumrio1">
    <w:name w:val="toc 1"/>
    <w:basedOn w:val="Normal"/>
    <w:next w:val="Normal"/>
    <w:autoRedefine/>
    <w:uiPriority w:val="39"/>
    <w:unhideWhenUsed/>
    <w:rsid w:val="00CC3E23"/>
    <w:pPr>
      <w:spacing w:after="100"/>
    </w:pPr>
  </w:style>
  <w:style w:type="character" w:styleId="Hyperlink">
    <w:name w:val="Hyperlink"/>
    <w:basedOn w:val="Fontepargpadro"/>
    <w:uiPriority w:val="99"/>
    <w:unhideWhenUsed/>
    <w:rsid w:val="00CC3E23"/>
    <w:rPr>
      <w:color w:val="0563C1" w:themeColor="hyperlink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CC3E23"/>
    <w:pPr>
      <w:outlineLvl w:val="9"/>
    </w:pPr>
    <w:rPr>
      <w:b/>
      <w:color w:val="2E74B5" w:themeColor="accent1" w:themeShade="BF"/>
      <w:sz w:val="32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BB3951"/>
    <w:pPr>
      <w:spacing w:after="100"/>
      <w:ind w:left="220"/>
    </w:pPr>
  </w:style>
  <w:style w:type="paragraph" w:customStyle="1" w:styleId="Default">
    <w:name w:val="Default"/>
    <w:rsid w:val="00B507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A5D11"/>
    <w:pPr>
      <w:ind w:left="720"/>
      <w:contextualSpacing/>
    </w:pPr>
  </w:style>
  <w:style w:type="table" w:customStyle="1" w:styleId="TabeladeLista1Clara1">
    <w:name w:val="Tabela de Lista 1 Clara1"/>
    <w:basedOn w:val="Tabelanormal"/>
    <w:uiPriority w:val="46"/>
    <w:rsid w:val="004254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21">
    <w:name w:val="Tabela de Grade 21"/>
    <w:basedOn w:val="Tabelanormal"/>
    <w:uiPriority w:val="47"/>
    <w:rsid w:val="0042542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mples31">
    <w:name w:val="Tabela Simples 31"/>
    <w:basedOn w:val="Tabelanormal"/>
    <w:uiPriority w:val="43"/>
    <w:rsid w:val="009468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deGrade2-nfase31">
    <w:name w:val="Tabela de Grade 2 - Ênfase 31"/>
    <w:basedOn w:val="Tabelanormal"/>
    <w:uiPriority w:val="47"/>
    <w:rsid w:val="00AB160C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deGrade5Escura-nfase31">
    <w:name w:val="Tabela de Grade 5 Escura - Ênfase 31"/>
    <w:basedOn w:val="Tabelanormal"/>
    <w:uiPriority w:val="50"/>
    <w:rsid w:val="00AB1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apple-converted-space">
    <w:name w:val="apple-converted-space"/>
    <w:basedOn w:val="Fontepargpadro"/>
    <w:rsid w:val="00191914"/>
  </w:style>
  <w:style w:type="character" w:customStyle="1" w:styleId="Ttulo3Char">
    <w:name w:val="Título 3 Char"/>
    <w:basedOn w:val="Fontepargpadro"/>
    <w:link w:val="Ttulo3"/>
    <w:uiPriority w:val="9"/>
    <w:rsid w:val="00FF5416"/>
    <w:rPr>
      <w:rFonts w:ascii="Gentona Light" w:eastAsiaTheme="majorEastAsia" w:hAnsi="Gentona Light" w:cstheme="majorBidi"/>
      <w:b/>
      <w:color w:val="E84817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FF5416"/>
    <w:rPr>
      <w:rFonts w:ascii="Gentona Light" w:eastAsiaTheme="majorEastAsia" w:hAnsi="Gentona Light" w:cstheme="majorBidi"/>
      <w:i/>
      <w:iCs/>
      <w:color w:val="E84817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B0FB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B0FB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B0FB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B0FB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B0F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viso">
    <w:name w:val="Revision"/>
    <w:hidden/>
    <w:uiPriority w:val="99"/>
    <w:semiHidden/>
    <w:rsid w:val="003032FD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C13039"/>
    <w:rPr>
      <w:color w:val="808080"/>
    </w:rPr>
  </w:style>
  <w:style w:type="paragraph" w:styleId="Sumrio3">
    <w:name w:val="toc 3"/>
    <w:basedOn w:val="Normal"/>
    <w:next w:val="Normal"/>
    <w:autoRedefine/>
    <w:uiPriority w:val="39"/>
    <w:unhideWhenUsed/>
    <w:rsid w:val="00B137CF"/>
    <w:pPr>
      <w:spacing w:after="100"/>
      <w:ind w:left="400"/>
    </w:pPr>
  </w:style>
  <w:style w:type="character" w:styleId="Refdecomentrio">
    <w:name w:val="annotation reference"/>
    <w:basedOn w:val="Fontepargpadro"/>
    <w:uiPriority w:val="99"/>
    <w:semiHidden/>
    <w:unhideWhenUsed/>
    <w:rsid w:val="008964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96418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96418"/>
    <w:rPr>
      <w:rFonts w:asciiTheme="majorHAnsi" w:hAnsiTheme="majorHAnsi"/>
      <w:color w:val="7F7F7F" w:themeColor="text1" w:themeTint="8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64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6418"/>
    <w:rPr>
      <w:rFonts w:asciiTheme="majorHAnsi" w:hAnsiTheme="majorHAnsi"/>
      <w:b/>
      <w:bCs/>
      <w:color w:val="7F7F7F" w:themeColor="text1" w:themeTint="80"/>
      <w:sz w:val="20"/>
      <w:szCs w:val="20"/>
    </w:rPr>
  </w:style>
  <w:style w:type="table" w:styleId="Tabelacomgrade">
    <w:name w:val="Table Grid"/>
    <w:basedOn w:val="Tabelanormal"/>
    <w:uiPriority w:val="39"/>
    <w:rsid w:val="00201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5Escura-nfase11">
    <w:name w:val="Tabela de Grade 5 Escura - Ênfase 11"/>
    <w:basedOn w:val="Tabelanormal"/>
    <w:uiPriority w:val="50"/>
    <w:rsid w:val="002019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adeLista1Clara-nfase31">
    <w:name w:val="Tabela de Lista 1 Clara - Ênfase 31"/>
    <w:basedOn w:val="Tabelanormal"/>
    <w:uiPriority w:val="46"/>
    <w:rsid w:val="00940C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Forte">
    <w:name w:val="Strong"/>
    <w:basedOn w:val="Fontepargpadro"/>
    <w:uiPriority w:val="22"/>
    <w:qFormat/>
    <w:rsid w:val="003D7DC2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0622A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58A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658A6"/>
    <w:rPr>
      <w:rFonts w:ascii="Gentona Light" w:hAnsi="Gentona Light"/>
      <w:color w:val="0D0E0E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658A6"/>
    <w:rPr>
      <w:vertAlign w:val="superscript"/>
    </w:rPr>
  </w:style>
  <w:style w:type="paragraph" w:customStyle="1" w:styleId="content-textcontainer">
    <w:name w:val="content-text__container"/>
    <w:basedOn w:val="Normal"/>
    <w:rsid w:val="00681E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410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769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23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097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413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456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495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27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08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0826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286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34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494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93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4822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70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707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510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534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891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INPC - MÊS A MÊS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INPC - MÊS A MÊS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Planilha1!$A$2:$A$13</c:f>
              <c:numCache>
                <c:formatCode>mmm\-yy</c:formatCode>
                <c:ptCount val="12"/>
                <c:pt idx="0">
                  <c:v>44440</c:v>
                </c:pt>
                <c:pt idx="1">
                  <c:v>44470</c:v>
                </c:pt>
                <c:pt idx="2">
                  <c:v>44501</c:v>
                </c:pt>
                <c:pt idx="3">
                  <c:v>44531</c:v>
                </c:pt>
                <c:pt idx="4">
                  <c:v>44562</c:v>
                </c:pt>
                <c:pt idx="5">
                  <c:v>44593</c:v>
                </c:pt>
                <c:pt idx="6">
                  <c:v>44621</c:v>
                </c:pt>
                <c:pt idx="7">
                  <c:v>44652</c:v>
                </c:pt>
                <c:pt idx="8">
                  <c:v>44682</c:v>
                </c:pt>
                <c:pt idx="9">
                  <c:v>44713</c:v>
                </c:pt>
                <c:pt idx="10">
                  <c:v>44743</c:v>
                </c:pt>
                <c:pt idx="11">
                  <c:v>44774</c:v>
                </c:pt>
              </c:numCache>
            </c:numRef>
          </c:cat>
          <c:val>
            <c:numRef>
              <c:f>Planilha1!$B$2:$B$13</c:f>
              <c:numCache>
                <c:formatCode>0.00%</c:formatCode>
                <c:ptCount val="12"/>
                <c:pt idx="0">
                  <c:v>1.2E-2</c:v>
                </c:pt>
                <c:pt idx="1">
                  <c:v>1.1599999999999999E-2</c:v>
                </c:pt>
                <c:pt idx="2">
                  <c:v>8.3999999999999995E-3</c:v>
                </c:pt>
                <c:pt idx="3">
                  <c:v>7.3000000000000001E-3</c:v>
                </c:pt>
                <c:pt idx="4">
                  <c:v>6.7000000000000002E-3</c:v>
                </c:pt>
                <c:pt idx="5" formatCode="0%">
                  <c:v>0.01</c:v>
                </c:pt>
                <c:pt idx="6">
                  <c:v>1.7100000000000001E-2</c:v>
                </c:pt>
                <c:pt idx="7">
                  <c:v>1.04E-2</c:v>
                </c:pt>
                <c:pt idx="8">
                  <c:v>4.4999999999999997E-3</c:v>
                </c:pt>
                <c:pt idx="9">
                  <c:v>6.1999999999999998E-3</c:v>
                </c:pt>
                <c:pt idx="10">
                  <c:v>-6.0000000000000001E-3</c:v>
                </c:pt>
                <c:pt idx="11">
                  <c:v>-3.0999999999999999E-3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36B-413A-BADE-0D66D6330A6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20369408"/>
        <c:axId val="120369968"/>
      </c:lineChart>
      <c:dateAx>
        <c:axId val="120369408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20369968"/>
        <c:crosses val="autoZero"/>
        <c:auto val="1"/>
        <c:lblOffset val="100"/>
        <c:baseTimeUnit val="months"/>
      </c:dateAx>
      <c:valAx>
        <c:axId val="120369968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20369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E62D6-19C1-4CE5-837E-62607E7E0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43</Pages>
  <Words>13917</Words>
  <Characters>75155</Characters>
  <Application>Microsoft Office Word</Application>
  <DocSecurity>0</DocSecurity>
  <Lines>626</Lines>
  <Paragraphs>177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Reis</dc:creator>
  <cp:keywords/>
  <dc:description/>
  <cp:lastModifiedBy>Usuário</cp:lastModifiedBy>
  <cp:revision>4</cp:revision>
  <cp:lastPrinted>2022-09-16T13:11:00Z</cp:lastPrinted>
  <dcterms:created xsi:type="dcterms:W3CDTF">2022-11-07T11:50:00Z</dcterms:created>
  <dcterms:modified xsi:type="dcterms:W3CDTF">2022-12-09T12:16:00Z</dcterms:modified>
</cp:coreProperties>
</file>